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1E63" w14:textId="57035069" w:rsidR="006833E0" w:rsidRPr="00326860" w:rsidRDefault="0022166F" w:rsidP="00F208DD">
      <w:pPr>
        <w:tabs>
          <w:tab w:val="left" w:pos="426"/>
        </w:tabs>
        <w:spacing w:before="120" w:after="120" w:line="360" w:lineRule="auto"/>
        <w:ind w:left="567"/>
        <w:jc w:val="both"/>
        <w:rPr>
          <w:rFonts w:ascii="Times New Roman" w:hAnsi="Times New Roman"/>
          <w:sz w:val="26"/>
          <w:szCs w:val="26"/>
          <w:lang w:val="en-US"/>
        </w:rPr>
      </w:pPr>
      <w:sdt>
        <w:sdtPr>
          <w:rPr>
            <w:b/>
            <w:sz w:val="32"/>
            <w:szCs w:val="24"/>
          </w:rPr>
          <w:id w:val="-1202009714"/>
          <w:placeholder>
            <w:docPart w:val="82C9BDA6F26245C7BEA14087967313CC"/>
          </w:placeholder>
        </w:sdtPr>
        <w:sdtEndPr/>
        <w:sdtContent>
          <w:r w:rsidR="007679D7">
            <w:rPr>
              <w:b/>
              <w:sz w:val="32"/>
              <w:szCs w:val="24"/>
              <w:lang w:val="en-US"/>
            </w:rPr>
            <w:t>Threshold result of FDI on Economic growth: case in Georgia</w:t>
          </w:r>
          <w:r w:rsidR="0049224C">
            <w:rPr>
              <w:b/>
              <w:sz w:val="32"/>
              <w:szCs w:val="24"/>
              <w:lang w:val="en-US"/>
            </w:rPr>
            <w:t xml:space="preserve"> </w:t>
          </w:r>
        </w:sdtContent>
      </w:sdt>
    </w:p>
    <w:p w14:paraId="0F6668F2" w14:textId="64DC8002" w:rsidR="00AB728C" w:rsidRPr="00AB728C" w:rsidRDefault="007679D7" w:rsidP="00F208DD">
      <w:pPr>
        <w:spacing w:line="360" w:lineRule="auto"/>
        <w:jc w:val="center"/>
        <w:rPr>
          <w:rFonts w:ascii="Times New Roman" w:hAnsi="Times New Roman"/>
          <w:iCs/>
          <w:szCs w:val="24"/>
          <w:lang w:val="en-US"/>
        </w:rPr>
      </w:pPr>
      <w:r>
        <w:rPr>
          <w:rFonts w:ascii="Times New Roman" w:hAnsi="Times New Roman"/>
          <w:iCs/>
          <w:szCs w:val="24"/>
          <w:lang w:val="en-US"/>
        </w:rPr>
        <w:t xml:space="preserve">Tea </w:t>
      </w:r>
      <w:proofErr w:type="spellStart"/>
      <w:r>
        <w:rPr>
          <w:rFonts w:ascii="Times New Roman" w:hAnsi="Times New Roman"/>
          <w:iCs/>
          <w:szCs w:val="24"/>
          <w:lang w:val="en-US"/>
        </w:rPr>
        <w:t>Kbiltsetskhlashvili</w:t>
      </w:r>
      <w:proofErr w:type="spellEnd"/>
      <w:r w:rsidR="00CB3A1B">
        <w:rPr>
          <w:rFonts w:ascii="Times New Roman" w:hAnsi="Times New Roman"/>
          <w:iCs/>
          <w:szCs w:val="24"/>
          <w:lang w:val="en-US"/>
        </w:rPr>
        <w:t>*</w:t>
      </w:r>
    </w:p>
    <w:p w14:paraId="015ED955" w14:textId="1670499B" w:rsidR="00AB728C" w:rsidRPr="00AB728C" w:rsidRDefault="00AB728C" w:rsidP="00F208DD">
      <w:pPr>
        <w:spacing w:line="360" w:lineRule="auto"/>
        <w:jc w:val="center"/>
        <w:rPr>
          <w:rFonts w:ascii="Times New Roman" w:hAnsi="Times New Roman"/>
          <w:i/>
          <w:szCs w:val="24"/>
          <w:lang w:val="en-US"/>
        </w:rPr>
      </w:pPr>
      <w:r w:rsidRPr="00AB728C">
        <w:rPr>
          <w:rFonts w:ascii="Times New Roman" w:hAnsi="Times New Roman"/>
          <w:i/>
          <w:szCs w:val="24"/>
          <w:lang w:val="en-US"/>
        </w:rPr>
        <w:t xml:space="preserve">School of Business, International Black Sea University, </w:t>
      </w:r>
      <w:r w:rsidR="007679D7">
        <w:rPr>
          <w:rFonts w:ascii="Times New Roman" w:hAnsi="Times New Roman"/>
          <w:i/>
          <w:szCs w:val="24"/>
          <w:lang w:val="en-US"/>
        </w:rPr>
        <w:t>tea</w:t>
      </w:r>
      <w:r w:rsidR="00625DD0">
        <w:rPr>
          <w:rFonts w:ascii="Times New Roman" w:hAnsi="Times New Roman"/>
          <w:i/>
          <w:szCs w:val="24"/>
          <w:lang w:val="en-US"/>
        </w:rPr>
        <w:t>@ibsu.edu.ge</w:t>
      </w:r>
    </w:p>
    <w:p w14:paraId="00BEF2A4" w14:textId="571093FB" w:rsidR="00AB728C" w:rsidRPr="00AB728C" w:rsidRDefault="00AB728C" w:rsidP="00F208DD">
      <w:pPr>
        <w:spacing w:line="360" w:lineRule="auto"/>
        <w:jc w:val="center"/>
        <w:rPr>
          <w:rFonts w:ascii="Times New Roman" w:hAnsi="Times New Roman"/>
          <w:iCs/>
          <w:szCs w:val="24"/>
          <w:lang w:val="en-US"/>
        </w:rPr>
      </w:pPr>
      <w:r w:rsidRPr="00AB728C">
        <w:rPr>
          <w:rFonts w:ascii="Times New Roman" w:hAnsi="Times New Roman"/>
          <w:iCs/>
          <w:szCs w:val="24"/>
          <w:lang w:val="en-US"/>
        </w:rPr>
        <w:t>Metin Mercan</w:t>
      </w:r>
    </w:p>
    <w:p w14:paraId="400778CF" w14:textId="77777777" w:rsidR="00AB728C" w:rsidRPr="00AB728C" w:rsidRDefault="00AB728C" w:rsidP="00F208DD">
      <w:pPr>
        <w:spacing w:line="360" w:lineRule="auto"/>
        <w:jc w:val="center"/>
        <w:rPr>
          <w:rFonts w:ascii="Times New Roman" w:hAnsi="Times New Roman"/>
          <w:i/>
          <w:szCs w:val="24"/>
          <w:lang w:val="en-US"/>
        </w:rPr>
      </w:pPr>
      <w:r w:rsidRPr="00AB728C">
        <w:rPr>
          <w:rFonts w:ascii="Times New Roman" w:hAnsi="Times New Roman"/>
          <w:i/>
          <w:szCs w:val="24"/>
          <w:lang w:val="en-US"/>
        </w:rPr>
        <w:t>School of Business, International Black Sea University, mmercan@ibsu.edu.ge</w:t>
      </w:r>
    </w:p>
    <w:p w14:paraId="61F7E9CC" w14:textId="77777777" w:rsidR="00AB728C" w:rsidRDefault="00AB728C" w:rsidP="00F208DD">
      <w:pPr>
        <w:pStyle w:val="Heading1"/>
        <w:spacing w:before="120" w:after="120" w:line="360" w:lineRule="auto"/>
        <w:rPr>
          <w:rFonts w:ascii="Times New Roman" w:hAnsi="Times New Roman"/>
          <w:sz w:val="28"/>
          <w:szCs w:val="28"/>
        </w:rPr>
      </w:pPr>
    </w:p>
    <w:p w14:paraId="32A62CA0" w14:textId="5F1B2911" w:rsidR="006833E0" w:rsidRDefault="008969A0" w:rsidP="00F208DD">
      <w:pPr>
        <w:pStyle w:val="Heading1"/>
        <w:spacing w:before="120" w:after="120" w:line="360" w:lineRule="auto"/>
        <w:rPr>
          <w:rFonts w:ascii="Times New Roman" w:hAnsi="Times New Roman" w:cs="Times New Roman"/>
          <w:b/>
          <w:bCs/>
          <w:color w:val="auto"/>
          <w:sz w:val="28"/>
          <w:szCs w:val="28"/>
        </w:rPr>
      </w:pPr>
      <w:r w:rsidRPr="008969A0">
        <w:rPr>
          <w:rFonts w:ascii="Times New Roman" w:hAnsi="Times New Roman"/>
          <w:sz w:val="28"/>
          <w:szCs w:val="28"/>
        </w:rPr>
        <w:t xml:space="preserve"> </w:t>
      </w:r>
      <w:bookmarkStart w:id="0" w:name="_Toc106836731"/>
      <w:r w:rsidR="00BB7368" w:rsidRPr="00687851">
        <w:rPr>
          <w:rFonts w:ascii="Times New Roman" w:hAnsi="Times New Roman" w:cs="Times New Roman"/>
          <w:b/>
          <w:bCs/>
          <w:color w:val="auto"/>
          <w:sz w:val="28"/>
          <w:szCs w:val="28"/>
        </w:rPr>
        <w:t>Abstract</w:t>
      </w:r>
      <w:bookmarkEnd w:id="0"/>
    </w:p>
    <w:p w14:paraId="30034CE4" w14:textId="75F626AA" w:rsidR="002B5404" w:rsidRPr="00DD0775" w:rsidRDefault="002B5404" w:rsidP="002B5404">
      <w:pPr>
        <w:jc w:val="both"/>
        <w:rPr>
          <w:rFonts w:ascii="Times New Roman" w:hAnsi="Times New Roman"/>
          <w:i/>
          <w:iCs/>
          <w:sz w:val="24"/>
          <w:szCs w:val="24"/>
          <w:lang w:val="en-US"/>
        </w:rPr>
      </w:pPr>
      <w:r w:rsidRPr="002B5404">
        <w:rPr>
          <w:rFonts w:ascii="Times New Roman" w:hAnsi="Times New Roman"/>
          <w:i/>
          <w:iCs/>
          <w:sz w:val="24"/>
          <w:szCs w:val="24"/>
          <w:lang w:val="en-US"/>
        </w:rPr>
        <w:t>In today's world of increasing globalization and economic openness, foreign direct investment (FDI) is a critical factor that contributes to the dependency of economies. The volume of the global flows of foreign direct investment (FDI) has grown significantly during the last two decades.</w:t>
      </w:r>
      <w:r w:rsidRPr="002B5404">
        <w:rPr>
          <w:rFonts w:ascii="Times New Roman" w:hAnsi="Times New Roman"/>
          <w:i/>
          <w:iCs/>
          <w:sz w:val="24"/>
          <w:szCs w:val="24"/>
          <w:lang w:val="en-US"/>
        </w:rPr>
        <w:t xml:space="preserve"> </w:t>
      </w:r>
      <w:r w:rsidRPr="002B5404">
        <w:rPr>
          <w:rFonts w:ascii="Times New Roman" w:hAnsi="Times New Roman"/>
          <w:i/>
          <w:iCs/>
          <w:sz w:val="24"/>
          <w:szCs w:val="24"/>
          <w:lang w:val="en-US"/>
        </w:rPr>
        <w:t>The data of variables used in this research are included from 2001 to 2021.Most of data for variables before 2001 are not available.</w:t>
      </w:r>
      <w:r w:rsidRPr="002B5404">
        <w:rPr>
          <w:rFonts w:ascii="Times New Roman" w:hAnsi="Times New Roman"/>
          <w:i/>
          <w:iCs/>
          <w:sz w:val="24"/>
          <w:szCs w:val="24"/>
          <w:lang w:val="en-US"/>
        </w:rPr>
        <w:t xml:space="preserve"> </w:t>
      </w:r>
      <w:r w:rsidRPr="002B5404">
        <w:rPr>
          <w:rFonts w:ascii="Times New Roman" w:hAnsi="Times New Roman"/>
          <w:i/>
          <w:iCs/>
          <w:sz w:val="24"/>
          <w:szCs w:val="24"/>
          <w:lang w:val="en-US"/>
        </w:rPr>
        <w:t>The variables are as follows.</w:t>
      </w:r>
      <w:r w:rsidRPr="002B5404">
        <w:rPr>
          <w:rFonts w:ascii="Times New Roman" w:hAnsi="Times New Roman"/>
          <w:i/>
          <w:iCs/>
          <w:sz w:val="24"/>
          <w:szCs w:val="24"/>
        </w:rPr>
        <w:t xml:space="preserve"> The ratio of net FDI inflows to GDP is known as FDI. The United Nations Conference on Trade and Development (UNCTAD) Statistics are used to calculate net FDI inflows. Data for variables are derived from the World Bank databank's World Development Indicators (WDI)</w:t>
      </w:r>
      <w:r w:rsidR="00DD0775">
        <w:rPr>
          <w:rFonts w:ascii="Times New Roman" w:hAnsi="Times New Roman"/>
          <w:i/>
          <w:iCs/>
          <w:sz w:val="24"/>
          <w:szCs w:val="24"/>
          <w:lang w:val="en-US"/>
        </w:rPr>
        <w:t>.</w:t>
      </w:r>
      <w:proofErr w:type="spellStart"/>
      <w:r w:rsidR="00DD0775">
        <w:rPr>
          <w:rFonts w:ascii="Times New Roman" w:hAnsi="Times New Roman"/>
          <w:i/>
          <w:iCs/>
          <w:sz w:val="24"/>
          <w:szCs w:val="24"/>
          <w:lang w:val="en-US"/>
        </w:rPr>
        <w:t>Treshhold</w:t>
      </w:r>
      <w:proofErr w:type="spellEnd"/>
      <w:r w:rsidR="00DD0775">
        <w:rPr>
          <w:rFonts w:ascii="Times New Roman" w:hAnsi="Times New Roman"/>
          <w:i/>
          <w:iCs/>
          <w:sz w:val="24"/>
          <w:szCs w:val="24"/>
          <w:lang w:val="en-US"/>
        </w:rPr>
        <w:t xml:space="preserve"> regression model is utilized in the research.</w:t>
      </w:r>
    </w:p>
    <w:p w14:paraId="1DE8745F" w14:textId="3C562567" w:rsidR="00F0469C" w:rsidRPr="007679D7" w:rsidRDefault="006833E0" w:rsidP="00F208DD">
      <w:pPr>
        <w:spacing w:line="360" w:lineRule="auto"/>
        <w:jc w:val="both"/>
        <w:rPr>
          <w:rFonts w:ascii="Times New Roman" w:eastAsia="Times New Roman" w:hAnsi="Times New Roman"/>
          <w:i/>
          <w:iCs/>
          <w:sz w:val="24"/>
          <w:szCs w:val="24"/>
          <w:lang w:val="en-US"/>
        </w:rPr>
        <w:sectPr w:rsidR="00F0469C" w:rsidRPr="007679D7" w:rsidSect="00BF2688">
          <w:headerReference w:type="default" r:id="rId8"/>
          <w:footerReference w:type="default" r:id="rId9"/>
          <w:headerReference w:type="first" r:id="rId10"/>
          <w:footerReference w:type="first" r:id="rId11"/>
          <w:footnotePr>
            <w:numStart w:val="6"/>
          </w:footnotePr>
          <w:pgSz w:w="12240" w:h="15840"/>
          <w:pgMar w:top="1418" w:right="567" w:bottom="1418" w:left="567" w:header="709" w:footer="709" w:gutter="0"/>
          <w:pgNumType w:start="7"/>
          <w:cols w:space="708"/>
          <w:docGrid w:linePitch="360"/>
        </w:sectPr>
      </w:pPr>
      <w:r w:rsidRPr="00326860">
        <w:rPr>
          <w:rFonts w:ascii="Times New Roman" w:hAnsi="Times New Roman"/>
          <w:b/>
          <w:color w:val="000000"/>
          <w:sz w:val="26"/>
          <w:szCs w:val="26"/>
          <w:lang w:val="en-US"/>
        </w:rPr>
        <w:t>Keywords</w:t>
      </w:r>
      <w:r w:rsidRPr="00326860">
        <w:rPr>
          <w:rFonts w:ascii="Times New Roman" w:hAnsi="Times New Roman"/>
          <w:color w:val="000000"/>
          <w:sz w:val="26"/>
          <w:szCs w:val="26"/>
          <w:lang w:val="en-US"/>
        </w:rPr>
        <w:t xml:space="preserve">: </w:t>
      </w:r>
      <w:r w:rsidR="007679D7" w:rsidRPr="007679D7">
        <w:rPr>
          <w:rFonts w:ascii="Times New Roman" w:eastAsia="Times New Roman" w:hAnsi="Times New Roman"/>
          <w:sz w:val="24"/>
          <w:szCs w:val="24"/>
          <w:lang w:val="en-US"/>
        </w:rPr>
        <w:t>GDP, FDI, Threshold Regressio</w:t>
      </w:r>
      <w:r w:rsidR="00CB3A1B">
        <w:rPr>
          <w:rFonts w:ascii="Times New Roman" w:eastAsia="Times New Roman" w:hAnsi="Times New Roman"/>
          <w:sz w:val="24"/>
          <w:szCs w:val="24"/>
          <w:lang w:val="en-US"/>
        </w:rPr>
        <w:t>n</w:t>
      </w:r>
    </w:p>
    <w:p w14:paraId="5584427B" w14:textId="4EE8BE68" w:rsidR="007679D7" w:rsidRPr="00DD0775" w:rsidRDefault="00DD0775" w:rsidP="007679D7">
      <w:pPr>
        <w:jc w:val="both"/>
        <w:rPr>
          <w:rFonts w:ascii="Times New Roman" w:hAnsi="Times New Roman"/>
          <w:b/>
          <w:bCs/>
          <w:sz w:val="24"/>
          <w:szCs w:val="24"/>
        </w:rPr>
      </w:pPr>
      <w:r w:rsidRPr="00DD0775">
        <w:rPr>
          <w:rFonts w:ascii="Times New Roman" w:hAnsi="Times New Roman"/>
          <w:b/>
          <w:bCs/>
          <w:sz w:val="24"/>
          <w:szCs w:val="24"/>
          <w:lang w:val="en-US"/>
        </w:rPr>
        <w:lastRenderedPageBreak/>
        <w:t>1.</w:t>
      </w:r>
      <w:r w:rsidR="007679D7" w:rsidRPr="00DD0775">
        <w:rPr>
          <w:rFonts w:ascii="Times New Roman" w:hAnsi="Times New Roman"/>
          <w:b/>
          <w:bCs/>
          <w:sz w:val="24"/>
          <w:szCs w:val="24"/>
        </w:rPr>
        <w:t>Introduction and literature review</w:t>
      </w:r>
    </w:p>
    <w:p w14:paraId="4DF75C5F" w14:textId="77777777" w:rsidR="007679D7" w:rsidRPr="002757CB" w:rsidRDefault="007679D7" w:rsidP="007679D7">
      <w:pPr>
        <w:spacing w:line="360" w:lineRule="auto"/>
        <w:jc w:val="both"/>
        <w:rPr>
          <w:rFonts w:ascii="Times New Roman" w:hAnsi="Times New Roman"/>
          <w:sz w:val="24"/>
          <w:szCs w:val="24"/>
        </w:rPr>
      </w:pPr>
      <w:r w:rsidRPr="002757CB">
        <w:rPr>
          <w:rFonts w:ascii="Times New Roman" w:hAnsi="Times New Roman"/>
          <w:sz w:val="24"/>
          <w:szCs w:val="24"/>
        </w:rPr>
        <w:t>Foreign direct investment (also known as FDI) is a crucial component that contributes to the interdependence of economies in today's world, which is characterized by growing globalization and economic openness. Foreign direct investment (FDI) flows between nations have seen considerable increases in volume over the course of the last two decades. After a robust resurgence in 2021, the United Nations Conference on Trade and Development (UNCTAD, 2021) reports global FDI dropped by 12% to $1.3 trillion in 2022, mostly due to overlapping global issues such as the conflict in Ukraine, high food and energy prices, and rising public debt levels (see Figure 1)</w:t>
      </w:r>
    </w:p>
    <w:p w14:paraId="259F93BC" w14:textId="77777777" w:rsidR="007679D7" w:rsidRPr="002757CB" w:rsidRDefault="007679D7" w:rsidP="007679D7">
      <w:pPr>
        <w:spacing w:line="360" w:lineRule="auto"/>
        <w:jc w:val="both"/>
        <w:rPr>
          <w:rFonts w:ascii="Times New Roman" w:hAnsi="Times New Roman"/>
          <w:sz w:val="24"/>
          <w:szCs w:val="24"/>
        </w:rPr>
      </w:pPr>
      <w:r w:rsidRPr="002757CB">
        <w:rPr>
          <w:rFonts w:ascii="Times New Roman" w:hAnsi="Times New Roman"/>
          <w:sz w:val="24"/>
          <w:szCs w:val="24"/>
        </w:rPr>
        <w:t>The reduction was observed most strongly in developed economies, which suffered a 37% decline in FDI, lowering the total to $378 billion. However, flows to developing nations increased by 4%, although in an unequal manner. A few big emerging economies attracted the majority of the investment, whilst flows to the least developed countries decreased. Foreign direct investment (FDI) is increasingly playing an essential role as a global element that may bring nations together.</w:t>
      </w:r>
    </w:p>
    <w:p w14:paraId="75F36A5C" w14:textId="77777777" w:rsidR="007679D7" w:rsidRDefault="007679D7" w:rsidP="007679D7">
      <w:pPr>
        <w:spacing w:line="360" w:lineRule="auto"/>
        <w:jc w:val="both"/>
        <w:rPr>
          <w:rFonts w:ascii="Times New Roman" w:hAnsi="Times New Roman"/>
          <w:sz w:val="24"/>
          <w:szCs w:val="24"/>
        </w:rPr>
      </w:pPr>
      <w:r w:rsidRPr="002757CB">
        <w:rPr>
          <w:rFonts w:ascii="Times New Roman" w:hAnsi="Times New Roman"/>
          <w:sz w:val="24"/>
          <w:szCs w:val="24"/>
        </w:rPr>
        <w:t>In developing countries, policies are increasingly being geared to encourage major inflows of foreign direct investment (FDI), even as decision-makers constantly apply methods to attract FDI in the assumption that FDI provides good productivity benefits for host economies. This is because of the notion that FDI creates positive productivity effects for host economies. Many developing countries, particularly in Asia and Africa, support foreign direct investment (FDI) and believe that it brings important benefits that are advantageous to a host country's growth and developmental efforts. Additionally, they believe that it provides a buffer against sharp reversals in portfolio inflows during periods of crisis such as the ASEAN financial crisis of 1997–1998, given its relative stability in comparison to portfolio inflows that are more liquid and are reputed for being very volatile and unstable. In general, a lot of nations hold the opinion that luring foreign direct investment (FDI) is equivalent to the possibility of boosting economic development.</w:t>
      </w:r>
    </w:p>
    <w:p w14:paraId="16444E2D" w14:textId="77777777" w:rsidR="007679D7" w:rsidRPr="002757CB" w:rsidRDefault="007679D7" w:rsidP="007679D7">
      <w:pPr>
        <w:spacing w:line="360" w:lineRule="auto"/>
        <w:jc w:val="both"/>
        <w:rPr>
          <w:rFonts w:ascii="Times New Roman" w:hAnsi="Times New Roman"/>
          <w:sz w:val="24"/>
          <w:szCs w:val="24"/>
        </w:rPr>
      </w:pPr>
      <w:r w:rsidRPr="002757CB">
        <w:rPr>
          <w:rFonts w:ascii="Times New Roman" w:hAnsi="Times New Roman"/>
          <w:sz w:val="24"/>
          <w:szCs w:val="24"/>
        </w:rPr>
        <w:t xml:space="preserve">In addition, a number of additional studies have uncovered evidence of policies in developing nations of Asia and Africa that encourage foreign direct investment (FDI), as well as the influence that FDI has on future economic expansion. Velde (2004), and Anyawu (2015) are some authors to consult while looking for research on Africa. See </w:t>
      </w:r>
      <w:r w:rsidRPr="00DD0775">
        <w:rPr>
          <w:rFonts w:ascii="Times New Roman" w:hAnsi="Times New Roman"/>
          <w:sz w:val="24"/>
          <w:szCs w:val="24"/>
        </w:rPr>
        <w:t>Bashir et al. (2022),</w:t>
      </w:r>
      <w:r w:rsidRPr="002757CB">
        <w:rPr>
          <w:rFonts w:ascii="Times New Roman" w:hAnsi="Times New Roman"/>
          <w:sz w:val="24"/>
          <w:szCs w:val="24"/>
        </w:rPr>
        <w:t xml:space="preserve"> </w:t>
      </w:r>
      <w:r>
        <w:rPr>
          <w:rFonts w:ascii="Times New Roman" w:hAnsi="Times New Roman"/>
          <w:sz w:val="24"/>
          <w:szCs w:val="24"/>
        </w:rPr>
        <w:t>Tiwari</w:t>
      </w:r>
      <w:r w:rsidRPr="002757CB">
        <w:rPr>
          <w:rFonts w:ascii="Times New Roman" w:hAnsi="Times New Roman"/>
          <w:sz w:val="24"/>
          <w:szCs w:val="24"/>
        </w:rPr>
        <w:t xml:space="preserve"> and Mutascu (2011), </w:t>
      </w:r>
      <w:r>
        <w:rPr>
          <w:rFonts w:ascii="Times New Roman" w:hAnsi="Times New Roman"/>
          <w:sz w:val="24"/>
          <w:szCs w:val="24"/>
        </w:rPr>
        <w:t xml:space="preserve">and </w:t>
      </w:r>
      <w:r w:rsidRPr="002757CB">
        <w:rPr>
          <w:rFonts w:ascii="Times New Roman" w:hAnsi="Times New Roman"/>
          <w:sz w:val="24"/>
          <w:szCs w:val="24"/>
        </w:rPr>
        <w:t>OECD (2018) for more in-depth studies on Asia, particularly the patterns through which countries in Asia have removed restrictions and implemented policies to attract and promote FDI inflows.</w:t>
      </w:r>
    </w:p>
    <w:p w14:paraId="5577C679" w14:textId="77777777" w:rsidR="007679D7" w:rsidRPr="002757CB" w:rsidRDefault="007679D7" w:rsidP="007679D7">
      <w:pPr>
        <w:jc w:val="both"/>
        <w:rPr>
          <w:rFonts w:ascii="Times New Roman" w:hAnsi="Times New Roman"/>
          <w:sz w:val="24"/>
          <w:szCs w:val="24"/>
        </w:rPr>
      </w:pPr>
      <w:r>
        <w:rPr>
          <w:rFonts w:ascii="Times New Roman" w:hAnsi="Times New Roman"/>
          <w:sz w:val="24"/>
          <w:szCs w:val="24"/>
        </w:rPr>
        <w:lastRenderedPageBreak/>
        <w:t>Figure1. FDI inflows (US$) and proportion of world FDI inflows to developed and developing countries</w:t>
      </w:r>
    </w:p>
    <w:p w14:paraId="6F05FDA6" w14:textId="77777777" w:rsidR="007679D7" w:rsidRPr="002757CB" w:rsidRDefault="007679D7" w:rsidP="007679D7">
      <w:pPr>
        <w:jc w:val="both"/>
        <w:rPr>
          <w:rFonts w:ascii="Times New Roman" w:hAnsi="Times New Roman"/>
          <w:sz w:val="24"/>
          <w:szCs w:val="24"/>
        </w:rPr>
      </w:pPr>
    </w:p>
    <w:p w14:paraId="53E0C682" w14:textId="77777777" w:rsidR="007679D7" w:rsidRDefault="007679D7" w:rsidP="007679D7">
      <w:pPr>
        <w:jc w:val="both"/>
        <w:rPr>
          <w:rFonts w:ascii="Times New Roman" w:hAnsi="Times New Roman"/>
          <w:sz w:val="24"/>
          <w:szCs w:val="24"/>
        </w:rPr>
      </w:pPr>
      <w:r w:rsidRPr="002757CB">
        <w:rPr>
          <w:rFonts w:ascii="Times New Roman" w:hAnsi="Times New Roman"/>
          <w:noProof/>
          <w:sz w:val="24"/>
          <w:szCs w:val="24"/>
        </w:rPr>
        <w:drawing>
          <wp:inline distT="0" distB="0" distL="0" distR="0" wp14:anchorId="2C0E55DA" wp14:editId="3D004F1B">
            <wp:extent cx="55118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0800" cy="2752656"/>
                    </a:xfrm>
                    <a:prstGeom prst="rect">
                      <a:avLst/>
                    </a:prstGeom>
                  </pic:spPr>
                </pic:pic>
              </a:graphicData>
            </a:graphic>
          </wp:inline>
        </w:drawing>
      </w:r>
    </w:p>
    <w:p w14:paraId="712C5725" w14:textId="77777777" w:rsidR="007679D7" w:rsidRDefault="007679D7" w:rsidP="007679D7">
      <w:pPr>
        <w:jc w:val="both"/>
        <w:rPr>
          <w:rFonts w:ascii="Times New Roman" w:hAnsi="Times New Roman"/>
          <w:sz w:val="24"/>
          <w:szCs w:val="24"/>
        </w:rPr>
      </w:pPr>
    </w:p>
    <w:p w14:paraId="4D181230" w14:textId="77777777" w:rsidR="007679D7" w:rsidRDefault="007679D7" w:rsidP="007679D7">
      <w:pPr>
        <w:spacing w:line="360" w:lineRule="auto"/>
        <w:jc w:val="both"/>
        <w:rPr>
          <w:rFonts w:ascii="Times New Roman" w:hAnsi="Times New Roman"/>
          <w:sz w:val="24"/>
          <w:szCs w:val="24"/>
        </w:rPr>
      </w:pPr>
      <w:r w:rsidRPr="00CD3EA7">
        <w:rPr>
          <w:rFonts w:ascii="Times New Roman" w:hAnsi="Times New Roman"/>
          <w:sz w:val="24"/>
          <w:szCs w:val="24"/>
        </w:rPr>
        <w:t xml:space="preserve">According to the World Investment Report 2022 published by UNCTAD, foreign direct investment (FDI) flows to developing countries in Asia observed a rise of 4% to reach and was the only area registering FDI growth, while the pandemic led to a 35% decline in worldwide FDI in 2020. This is despite the fact that the pandemic caused a 35% decrease in global FDI in 2020. Developing Asia broke the record for the biggest amount of foreign direct investment (FDI) inflow ever in 2021, thanks to a surge of 19% in FDI (UNCTAD, 2022). The Foreign Direct Investment (FDI) inflows to developing nations in Asia and its subregions are shown in Figure </w:t>
      </w:r>
      <w:r>
        <w:rPr>
          <w:rFonts w:ascii="Times New Roman" w:hAnsi="Times New Roman"/>
          <w:sz w:val="24"/>
          <w:szCs w:val="24"/>
        </w:rPr>
        <w:t>2</w:t>
      </w:r>
      <w:r w:rsidRPr="00CD3EA7">
        <w:rPr>
          <w:rFonts w:ascii="Times New Roman" w:hAnsi="Times New Roman"/>
          <w:sz w:val="24"/>
          <w:szCs w:val="24"/>
        </w:rPr>
        <w:t xml:space="preserve"> for the years 2020 and 2021.</w:t>
      </w:r>
    </w:p>
    <w:p w14:paraId="2F7E9D12" w14:textId="77777777" w:rsidR="007679D7" w:rsidRPr="00EB3BDF" w:rsidRDefault="007679D7" w:rsidP="007679D7">
      <w:pPr>
        <w:spacing w:line="360" w:lineRule="auto"/>
        <w:jc w:val="both"/>
        <w:rPr>
          <w:rFonts w:ascii="Times New Roman" w:hAnsi="Times New Roman"/>
          <w:sz w:val="24"/>
          <w:szCs w:val="24"/>
        </w:rPr>
      </w:pPr>
      <w:r w:rsidRPr="00EB3BDF">
        <w:rPr>
          <w:rFonts w:ascii="Times New Roman" w:hAnsi="Times New Roman"/>
          <w:sz w:val="24"/>
          <w:szCs w:val="24"/>
        </w:rPr>
        <w:t>Countries work to increase the amount of foreign direct investment they get by reducing the political risks that they face and offering appealing advantages to potential investors. These benefits may include cutting taxes and tariffs on imported products, improving protections for private property, being more forgiving in their approach to international relations, and reducing the amount of red tape that must be completed. Hayakawa   et al. (2013) that a decrease in political risks, in conjunction with other measures that are favorable to foreign direct investment (FDI), is good to FDI and will enhance the amount of FDI inflows into host countries. In general, the policies reassure foreign investors that the host countries would look out for their best interests and protect the investments they make there.</w:t>
      </w:r>
    </w:p>
    <w:p w14:paraId="275C8904" w14:textId="77777777" w:rsidR="007679D7" w:rsidRDefault="007679D7" w:rsidP="007679D7">
      <w:pPr>
        <w:spacing w:line="360" w:lineRule="auto"/>
        <w:jc w:val="both"/>
        <w:rPr>
          <w:rFonts w:ascii="Times New Roman" w:hAnsi="Times New Roman"/>
          <w:sz w:val="24"/>
          <w:szCs w:val="24"/>
        </w:rPr>
      </w:pPr>
      <w:r w:rsidRPr="000A7347">
        <w:rPr>
          <w:rFonts w:ascii="Times New Roman" w:hAnsi="Times New Roman"/>
          <w:sz w:val="24"/>
          <w:szCs w:val="24"/>
        </w:rPr>
        <w:lastRenderedPageBreak/>
        <w:t xml:space="preserve">Researchers and those responsible for developing policy in Asia have shown a substantial level of interest in financial development (FD) over this time period (Huynh and Tran, 2022). Foreign direct investment (FDI) may be able to stimulate economic development through affecting the accumulation of capital, saving rate, behavior of saving, investment information, volume of FDI inflows, and the optimization of capital allocation, according to a substantial body of research (Majeed et al. 2021). This research was published in both English and Chinese. It is a widely held belief that a more advanced financial system will, over the course of time, result in a faster pace of economic growth. </w:t>
      </w:r>
      <w:r>
        <w:rPr>
          <w:rFonts w:ascii="Times New Roman" w:hAnsi="Times New Roman"/>
          <w:sz w:val="24"/>
          <w:szCs w:val="24"/>
        </w:rPr>
        <w:t xml:space="preserve">According to Sobiech 2019 </w:t>
      </w:r>
      <w:r w:rsidRPr="000A7347">
        <w:rPr>
          <w:rFonts w:ascii="Times New Roman" w:hAnsi="Times New Roman"/>
          <w:sz w:val="24"/>
          <w:szCs w:val="24"/>
        </w:rPr>
        <w:t>, foreign direct investment (FDI) plays a crucial role in developing countries, which are also the receivers of FDI inflows. Developing nations are also the recipients of FDI outflows. Although there have been a significant number of studies that have concentrated on the impact of foreign direct investment (FDI) on a range of areas of the economy, such as economic development, institutional quality, the shadow economy, air pollution, and income inequality...As was said before, there have only been a few number of studies done on the impact that foreign direct investment (FDI) has on domestic direct investment (Aibai et al., 2019), especially in the context of Asia (Sobiech, 2019</w:t>
      </w:r>
      <w:r>
        <w:rPr>
          <w:rFonts w:ascii="Times New Roman" w:hAnsi="Times New Roman"/>
          <w:sz w:val="24"/>
          <w:szCs w:val="24"/>
        </w:rPr>
        <w:t xml:space="preserve"> ; </w:t>
      </w:r>
      <w:r w:rsidRPr="000A7347">
        <w:rPr>
          <w:rFonts w:ascii="Times New Roman" w:hAnsi="Times New Roman"/>
          <w:sz w:val="24"/>
          <w:szCs w:val="24"/>
        </w:rPr>
        <w:t>Aibai et al., 2019). In addition, the social, financial, and economic settings of the different countries that have been examined have led to conclusions that are varied and, at times, conflicting. This is because of the many countries that have been researched. The amount of foreign direct investment (FDI) flowing into Asia is growing, but this window of opportunity must be taken advantage of for Asia as a whole to get all of the benefits that are available to it. As a consequence of this, doing study on the influence that FDI has on FD in order to optimize the good benefits that both FDI and FD have on economic growth is crucial for the whole of the post-pandemic period. The major objective of this research is to investigate the influence that foreign direct investment (FDI) has had on FD in Asian countries between the years 2001 and 2020. The understanding that the requirements and the problems that have not been addressed in prior studies drove this study. This research was motivated by the realization that earlier studies had not covered.</w:t>
      </w:r>
    </w:p>
    <w:p w14:paraId="24013140" w14:textId="77777777" w:rsidR="007679D7" w:rsidRPr="00E66498" w:rsidRDefault="007679D7" w:rsidP="007679D7">
      <w:pPr>
        <w:spacing w:line="360" w:lineRule="auto"/>
        <w:jc w:val="both"/>
        <w:rPr>
          <w:rFonts w:ascii="Times New Roman" w:hAnsi="Times New Roman"/>
          <w:sz w:val="24"/>
          <w:szCs w:val="24"/>
        </w:rPr>
      </w:pPr>
      <w:r w:rsidRPr="00E66498">
        <w:rPr>
          <w:rFonts w:ascii="Times New Roman" w:hAnsi="Times New Roman"/>
          <w:sz w:val="24"/>
          <w:szCs w:val="24"/>
        </w:rPr>
        <w:t>According to Pradhan</w:t>
      </w:r>
      <w:r>
        <w:rPr>
          <w:rFonts w:ascii="Times New Roman" w:hAnsi="Times New Roman"/>
          <w:sz w:val="24"/>
          <w:szCs w:val="24"/>
        </w:rPr>
        <w:t xml:space="preserve"> et all.</w:t>
      </w:r>
      <w:r w:rsidRPr="00E66498">
        <w:rPr>
          <w:rFonts w:ascii="Times New Roman" w:hAnsi="Times New Roman"/>
          <w:sz w:val="24"/>
          <w:szCs w:val="24"/>
        </w:rPr>
        <w:t xml:space="preserve"> (2018), the domestic financial market must provide appropriate regulations and financial infrastructures in order to effectively take advantage of the advantages of FDI on </w:t>
      </w:r>
      <w:r>
        <w:rPr>
          <w:rFonts w:ascii="Times New Roman" w:hAnsi="Times New Roman"/>
          <w:sz w:val="24"/>
          <w:szCs w:val="24"/>
        </w:rPr>
        <w:t>growth</w:t>
      </w:r>
      <w:r w:rsidRPr="00E66498">
        <w:rPr>
          <w:rFonts w:ascii="Times New Roman" w:hAnsi="Times New Roman"/>
          <w:sz w:val="24"/>
          <w:szCs w:val="24"/>
        </w:rPr>
        <w:t xml:space="preserve">. This is a must in order to fully capitalize on the opportunities presented by FDI. In order to make the most of the potential good benefits that FDI will have on FD, it is vital to do this. Inflows of foreign direct investment (FDI), according to the political economy argument, motivate the emergence of market-friendly laws to protect investors and achieve better governance, which in turn leads to a more developed financial market and promotes the growth of the domestic economy (Soumaré &amp; Tchana, 2015). To be more specific, the political </w:t>
      </w:r>
      <w:r w:rsidRPr="00E66498">
        <w:rPr>
          <w:rFonts w:ascii="Times New Roman" w:hAnsi="Times New Roman"/>
          <w:sz w:val="24"/>
          <w:szCs w:val="24"/>
        </w:rPr>
        <w:lastRenderedPageBreak/>
        <w:t>economy argument contends that more foreign direct investment (FDI) would lead to an increase in market-friendly laws, which will better protect investors and lead to improved governance.</w:t>
      </w:r>
    </w:p>
    <w:p w14:paraId="5CCB3313" w14:textId="77777777" w:rsidR="007679D7" w:rsidRDefault="007679D7" w:rsidP="007679D7">
      <w:pPr>
        <w:jc w:val="both"/>
        <w:rPr>
          <w:rFonts w:ascii="Times New Roman" w:hAnsi="Times New Roman"/>
          <w:sz w:val="24"/>
          <w:szCs w:val="24"/>
        </w:rPr>
      </w:pPr>
      <w:r>
        <w:rPr>
          <w:rFonts w:ascii="Times New Roman" w:hAnsi="Times New Roman"/>
          <w:sz w:val="24"/>
          <w:szCs w:val="24"/>
        </w:rPr>
        <w:t>Figure 2 FDI inflows to developing countries in Asia, 2020-2021</w:t>
      </w:r>
    </w:p>
    <w:p w14:paraId="7A733D09" w14:textId="77777777" w:rsidR="007679D7" w:rsidRDefault="007679D7" w:rsidP="007679D7">
      <w:pPr>
        <w:jc w:val="both"/>
        <w:rPr>
          <w:rFonts w:ascii="Times New Roman" w:hAnsi="Times New Roman"/>
          <w:sz w:val="24"/>
          <w:szCs w:val="24"/>
        </w:rPr>
      </w:pPr>
      <w:r>
        <w:rPr>
          <w:noProof/>
        </w:rPr>
        <w:drawing>
          <wp:inline distT="0" distB="0" distL="0" distR="0" wp14:anchorId="4FE7A084" wp14:editId="0405BC67">
            <wp:extent cx="3907766" cy="35311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7089" cy="3548645"/>
                    </a:xfrm>
                    <a:prstGeom prst="rect">
                      <a:avLst/>
                    </a:prstGeom>
                  </pic:spPr>
                </pic:pic>
              </a:graphicData>
            </a:graphic>
          </wp:inline>
        </w:drawing>
      </w:r>
    </w:p>
    <w:p w14:paraId="31F97A02" w14:textId="77777777" w:rsidR="007679D7" w:rsidRPr="00E66498" w:rsidRDefault="007679D7" w:rsidP="007679D7">
      <w:pPr>
        <w:jc w:val="both"/>
        <w:rPr>
          <w:rFonts w:ascii="Times New Roman" w:hAnsi="Times New Roman"/>
          <w:sz w:val="16"/>
          <w:szCs w:val="16"/>
        </w:rPr>
      </w:pPr>
      <w:r w:rsidRPr="00E66498">
        <w:rPr>
          <w:rFonts w:ascii="Times New Roman" w:hAnsi="Times New Roman"/>
          <w:b/>
          <w:bCs/>
          <w:sz w:val="16"/>
          <w:szCs w:val="16"/>
        </w:rPr>
        <w:t>Sources:</w:t>
      </w:r>
      <w:r w:rsidRPr="00E66498">
        <w:rPr>
          <w:rFonts w:ascii="Times New Roman" w:hAnsi="Times New Roman"/>
          <w:sz w:val="16"/>
          <w:szCs w:val="16"/>
        </w:rPr>
        <w:t xml:space="preserve"> World Investment Report 2022 (UNCTAD 2022)</w:t>
      </w:r>
    </w:p>
    <w:p w14:paraId="4ACA5C64" w14:textId="77777777" w:rsidR="007679D7" w:rsidRPr="003854DF" w:rsidRDefault="007679D7" w:rsidP="007679D7">
      <w:pPr>
        <w:spacing w:line="360" w:lineRule="auto"/>
        <w:jc w:val="both"/>
        <w:rPr>
          <w:rFonts w:ascii="Times New Roman" w:hAnsi="Times New Roman"/>
          <w:sz w:val="24"/>
          <w:szCs w:val="24"/>
        </w:rPr>
      </w:pPr>
      <w:r>
        <w:rPr>
          <w:rFonts w:ascii="Times New Roman" w:hAnsi="Times New Roman"/>
          <w:sz w:val="24"/>
          <w:szCs w:val="24"/>
        </w:rPr>
        <w:t xml:space="preserve">As the results </w:t>
      </w:r>
      <w:r w:rsidRPr="003854DF">
        <w:rPr>
          <w:rFonts w:ascii="Times New Roman" w:hAnsi="Times New Roman"/>
          <w:sz w:val="24"/>
          <w:szCs w:val="24"/>
        </w:rPr>
        <w:t>of the study</w:t>
      </w:r>
      <w:r>
        <w:rPr>
          <w:rFonts w:ascii="Times New Roman" w:hAnsi="Times New Roman"/>
          <w:sz w:val="24"/>
          <w:szCs w:val="24"/>
        </w:rPr>
        <w:t xml:space="preserve"> by </w:t>
      </w:r>
      <w:r w:rsidRPr="003854DF">
        <w:rPr>
          <w:rFonts w:ascii="Times New Roman" w:hAnsi="Times New Roman"/>
          <w:sz w:val="24"/>
          <w:szCs w:val="24"/>
        </w:rPr>
        <w:t>Sahina and Egeb (2015)</w:t>
      </w:r>
      <w:r>
        <w:rPr>
          <w:rFonts w:ascii="Times New Roman" w:hAnsi="Times New Roman"/>
          <w:sz w:val="24"/>
          <w:szCs w:val="24"/>
        </w:rPr>
        <w:t xml:space="preserve"> who </w:t>
      </w:r>
      <w:r w:rsidRPr="003854DF">
        <w:rPr>
          <w:rFonts w:ascii="Times New Roman" w:hAnsi="Times New Roman"/>
          <w:sz w:val="24"/>
          <w:szCs w:val="24"/>
        </w:rPr>
        <w:t>used a Bootstrap causality analysis to conduct their assessment of the relationship between foreign direct investment and economic growth in Bulgaria, Greece, and Macedonia. They found that there was a positive correlation between the two variables. They arrived at the conclusion that foreign direct investment (FDI) was favorable to the projections of financial development in Turkey, Greece, and Bulgaria. In the meanwhile, Majeed</w:t>
      </w:r>
      <w:r>
        <w:rPr>
          <w:rFonts w:ascii="Times New Roman" w:hAnsi="Times New Roman"/>
          <w:sz w:val="24"/>
          <w:szCs w:val="24"/>
        </w:rPr>
        <w:t xml:space="preserve"> et all </w:t>
      </w:r>
      <w:r w:rsidRPr="003854DF">
        <w:rPr>
          <w:rFonts w:ascii="Times New Roman" w:hAnsi="Times New Roman"/>
          <w:sz w:val="24"/>
          <w:szCs w:val="24"/>
        </w:rPr>
        <w:t>(2021) researched the effect of foreign direct investment (FDI) on foreign direct investment in a sample of 102 Belt and Road Initiative countries.</w:t>
      </w:r>
      <w:r>
        <w:rPr>
          <w:rFonts w:ascii="Times New Roman" w:hAnsi="Times New Roman"/>
          <w:sz w:val="24"/>
          <w:szCs w:val="24"/>
        </w:rPr>
        <w:t xml:space="preserve"> </w:t>
      </w:r>
      <w:r w:rsidRPr="003854DF">
        <w:rPr>
          <w:rFonts w:ascii="Times New Roman" w:hAnsi="Times New Roman"/>
          <w:sz w:val="24"/>
          <w:szCs w:val="24"/>
        </w:rPr>
        <w:t>Foreign direct investment (FDI) and trade openness are two factors that have a significant influence on foreign direct investment (FD), according to the findings of a study that was conducted by Baltagi</w:t>
      </w:r>
      <w:r>
        <w:rPr>
          <w:rFonts w:ascii="Times New Roman" w:hAnsi="Times New Roman"/>
          <w:sz w:val="24"/>
          <w:szCs w:val="24"/>
        </w:rPr>
        <w:t xml:space="preserve"> et all (2008)</w:t>
      </w:r>
      <w:r w:rsidRPr="003854DF">
        <w:rPr>
          <w:rFonts w:ascii="Times New Roman" w:hAnsi="Times New Roman"/>
          <w:sz w:val="24"/>
          <w:szCs w:val="24"/>
        </w:rPr>
        <w:t xml:space="preserve">. This study focused on developing countries in addition to industrialized </w:t>
      </w:r>
      <w:r>
        <w:rPr>
          <w:rFonts w:ascii="Times New Roman" w:hAnsi="Times New Roman"/>
          <w:sz w:val="24"/>
          <w:szCs w:val="24"/>
        </w:rPr>
        <w:t>countries</w:t>
      </w:r>
      <w:r w:rsidRPr="003854DF">
        <w:rPr>
          <w:rFonts w:ascii="Times New Roman" w:hAnsi="Times New Roman"/>
          <w:sz w:val="24"/>
          <w:szCs w:val="24"/>
        </w:rPr>
        <w:t xml:space="preserve">. They came to the conclusion that Foreign Direct Investment (FDI) is beneficial to FD in Asia, Europe, and Latin America; however, it is detrimental to FD in Africa due to the continent's weak financial structure. Henri, Luc, and Larissa (2019) used a sample of 49 African nations throughout the period of 1990-2016 and used the Pooled Mean Group technique to find that over the long term, foreign direct investment (FDI) has a positive and substantial impact on foreign </w:t>
      </w:r>
      <w:r w:rsidRPr="003854DF">
        <w:rPr>
          <w:rFonts w:ascii="Times New Roman" w:hAnsi="Times New Roman"/>
          <w:sz w:val="24"/>
          <w:szCs w:val="24"/>
        </w:rPr>
        <w:lastRenderedPageBreak/>
        <w:t xml:space="preserve">direct investment (FD), but over the short term, the effect of FDI on FD is negative. These findings were found by employing the sample of 49 African nations throughout the period of 1990-2016. </w:t>
      </w:r>
    </w:p>
    <w:p w14:paraId="504754F9" w14:textId="77777777" w:rsidR="007679D7" w:rsidRPr="007B11EE" w:rsidRDefault="007679D7" w:rsidP="007679D7">
      <w:pPr>
        <w:spacing w:line="360" w:lineRule="auto"/>
        <w:jc w:val="both"/>
        <w:rPr>
          <w:rFonts w:ascii="Times New Roman" w:hAnsi="Times New Roman"/>
          <w:sz w:val="24"/>
          <w:szCs w:val="24"/>
        </w:rPr>
      </w:pPr>
      <w:r w:rsidRPr="007B11EE">
        <w:rPr>
          <w:rFonts w:ascii="Times New Roman" w:hAnsi="Times New Roman"/>
          <w:sz w:val="24"/>
          <w:szCs w:val="24"/>
        </w:rPr>
        <w:t>Foreign direct investment (FDI) also benefits local economies by exposing them to cutting-edge methods and technologies used in countries like the developed world. Many nations have opened their doors to foreign investors in an effort to attract the largest possible amount of foreign direct investment (FDI) because they recognize the potential benefits of exposing and adopting cutting-edge technology and intellectual know-how for their economies. Furthermore, developing nations in Asia, Africa, and the Americas have come to see FDI as a source of economic growth and development, as shown by their pro-FDI economic policies.</w:t>
      </w:r>
      <w:r>
        <w:rPr>
          <w:rFonts w:ascii="Times New Roman" w:hAnsi="Times New Roman"/>
          <w:sz w:val="24"/>
          <w:szCs w:val="24"/>
        </w:rPr>
        <w:t xml:space="preserve"> </w:t>
      </w:r>
      <w:r w:rsidRPr="00104519">
        <w:rPr>
          <w:rFonts w:ascii="Times New Roman" w:hAnsi="Times New Roman"/>
          <w:sz w:val="24"/>
          <w:szCs w:val="24"/>
        </w:rPr>
        <w:t>Wong and Tang (2011) suggest that FDI improves employment in manufacturing and services, which supports growth, while Kholdy and Sohrabian (2008) find that FDI may speed up financial development even when corruption is widespread.</w:t>
      </w:r>
    </w:p>
    <w:p w14:paraId="5B93BCD5" w14:textId="77777777" w:rsidR="007679D7" w:rsidRPr="00C215D5" w:rsidRDefault="007679D7" w:rsidP="007679D7">
      <w:pPr>
        <w:spacing w:line="360" w:lineRule="auto"/>
        <w:jc w:val="both"/>
        <w:rPr>
          <w:rFonts w:ascii="Times New Roman" w:hAnsi="Times New Roman"/>
          <w:sz w:val="24"/>
          <w:szCs w:val="24"/>
        </w:rPr>
      </w:pPr>
      <w:r w:rsidRPr="00C215D5">
        <w:rPr>
          <w:rFonts w:ascii="Times New Roman" w:hAnsi="Times New Roman"/>
          <w:sz w:val="24"/>
          <w:szCs w:val="24"/>
        </w:rPr>
        <w:t>Foreign direct investment (FDI) increases have helped certain economies expand, while others have not performed as well and may even be in decline. Foreign direct investment (FDI) arrangements are likely to create both winners and losers in the host states, according to research by Bjorvatn and Eckel (2003). Furthermore, despite the fact that Li and Liu (2005) argue in favor of foreign direct investment (FDI), especially in wealthy nations, Sumner (2005) argues that excessive FDI inflows could be a curse in disguise if the conditions under which they are allowed expose developing countries to negative trade-offs.</w:t>
      </w:r>
    </w:p>
    <w:p w14:paraId="4DC01231" w14:textId="77777777" w:rsidR="007679D7" w:rsidRPr="00C215D5" w:rsidRDefault="007679D7" w:rsidP="007679D7">
      <w:pPr>
        <w:spacing w:line="360" w:lineRule="auto"/>
        <w:jc w:val="both"/>
        <w:rPr>
          <w:rFonts w:ascii="Times New Roman" w:hAnsi="Times New Roman"/>
          <w:sz w:val="24"/>
          <w:szCs w:val="24"/>
        </w:rPr>
      </w:pPr>
      <w:r w:rsidRPr="00C215D5">
        <w:rPr>
          <w:rFonts w:ascii="Times New Roman" w:hAnsi="Times New Roman"/>
          <w:sz w:val="24"/>
          <w:szCs w:val="24"/>
        </w:rPr>
        <w:t>In recent years, the opportunity costs of significant foreign direct investment (FDI) inflows have drawn the attention of researchers and brought to divergent viewpoints on the benefits of FDI. The opportunity costs of high FDI inflows include, among other things, substantial tax revenues.</w:t>
      </w:r>
    </w:p>
    <w:p w14:paraId="08201DEC" w14:textId="5968A780" w:rsidR="00CB3A1B" w:rsidRPr="00C215D5" w:rsidRDefault="007679D7" w:rsidP="00CB3A1B">
      <w:pPr>
        <w:spacing w:line="360" w:lineRule="auto"/>
        <w:jc w:val="both"/>
        <w:rPr>
          <w:rFonts w:ascii="Times New Roman" w:hAnsi="Times New Roman"/>
          <w:sz w:val="24"/>
          <w:szCs w:val="24"/>
        </w:rPr>
      </w:pPr>
      <w:r w:rsidRPr="00C215D5">
        <w:rPr>
          <w:rFonts w:ascii="Times New Roman" w:hAnsi="Times New Roman"/>
          <w:sz w:val="24"/>
          <w:szCs w:val="24"/>
        </w:rPr>
        <w:t>The growth research confirms that the favorable impacts of FDI on the growth of host nations are sometimes equivocal, lending credence to these divergent viewpoints.</w:t>
      </w:r>
      <w:r w:rsidR="00CB3A1B" w:rsidRPr="00CB3A1B">
        <w:rPr>
          <w:rFonts w:ascii="Times New Roman" w:hAnsi="Times New Roman"/>
          <w:sz w:val="24"/>
          <w:szCs w:val="24"/>
        </w:rPr>
        <w:t xml:space="preserve"> </w:t>
      </w:r>
      <w:r w:rsidR="00CB3A1B" w:rsidRPr="00C215D5">
        <w:rPr>
          <w:rFonts w:ascii="Times New Roman" w:hAnsi="Times New Roman"/>
          <w:sz w:val="24"/>
          <w:szCs w:val="24"/>
        </w:rPr>
        <w:t>For example, Hanson (2001) contends that there is scant evidence that foreign direct investment (FDI) results in beneficial spillovers for host nations. This foreign direct investment (FDI) growth puzzle has been the subject of extensive research. Instead of providing conclusive answers, these studies have prompted the need for more research by suggesting that FDI may not be sufficient to spur growth on its own and that additional factors must be present before FDI may have a beneficial effect on economic development.</w:t>
      </w:r>
    </w:p>
    <w:p w14:paraId="5C86C155" w14:textId="5328A5AC" w:rsidR="007679D7" w:rsidRDefault="007679D7" w:rsidP="007679D7">
      <w:pPr>
        <w:spacing w:line="360" w:lineRule="auto"/>
        <w:jc w:val="both"/>
        <w:rPr>
          <w:rFonts w:ascii="Times New Roman" w:hAnsi="Times New Roman"/>
          <w:sz w:val="24"/>
          <w:szCs w:val="24"/>
        </w:rPr>
      </w:pPr>
    </w:p>
    <w:p w14:paraId="38B3CA6C" w14:textId="77777777" w:rsidR="007679D7" w:rsidRPr="00C215D5" w:rsidRDefault="007679D7" w:rsidP="007679D7">
      <w:pPr>
        <w:spacing w:line="360" w:lineRule="auto"/>
        <w:jc w:val="both"/>
        <w:rPr>
          <w:rFonts w:ascii="Times New Roman" w:hAnsi="Times New Roman"/>
          <w:sz w:val="24"/>
          <w:szCs w:val="24"/>
        </w:rPr>
      </w:pPr>
      <w:r>
        <w:rPr>
          <w:noProof/>
        </w:rPr>
        <w:lastRenderedPageBreak/>
        <w:drawing>
          <wp:inline distT="0" distB="0" distL="0" distR="0" wp14:anchorId="6B1963BA" wp14:editId="4813CC22">
            <wp:extent cx="4351421" cy="2245895"/>
            <wp:effectExtent l="0" t="0" r="11430" b="2540"/>
            <wp:docPr id="9" name="Chart 9">
              <a:extLst xmlns:a="http://schemas.openxmlformats.org/drawingml/2006/main">
                <a:ext uri="{FF2B5EF4-FFF2-40B4-BE49-F238E27FC236}">
                  <a16:creationId xmlns:a16="http://schemas.microsoft.com/office/drawing/2014/main" id="{EBAE9669-928C-458B-B95A-00BF3AE31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AD537" w14:textId="77777777" w:rsidR="007679D7" w:rsidRPr="000F54A5" w:rsidRDefault="007679D7" w:rsidP="007679D7">
      <w:pPr>
        <w:spacing w:line="360" w:lineRule="auto"/>
        <w:jc w:val="both"/>
        <w:rPr>
          <w:rFonts w:ascii="Times New Roman" w:hAnsi="Times New Roman"/>
          <w:sz w:val="24"/>
          <w:szCs w:val="24"/>
        </w:rPr>
      </w:pPr>
      <w:r w:rsidRPr="000F54A5">
        <w:rPr>
          <w:rFonts w:ascii="Times New Roman" w:hAnsi="Times New Roman"/>
          <w:sz w:val="24"/>
          <w:szCs w:val="24"/>
        </w:rPr>
        <w:t xml:space="preserve">Although Lipsey Robert (2002) believes that FDI has some beneficial benefits on host economies, G€org and Greenaway (2004) show that the consequences are overwhelmingly negative. Meanwhile, Carkovic and Levine </w:t>
      </w:r>
      <w:r w:rsidRPr="00DD0775">
        <w:rPr>
          <w:rFonts w:ascii="Times New Roman" w:hAnsi="Times New Roman"/>
          <w:sz w:val="24"/>
          <w:szCs w:val="24"/>
        </w:rPr>
        <w:t xml:space="preserve">(2002) demonstrate </w:t>
      </w:r>
      <w:r w:rsidRPr="000F54A5">
        <w:rPr>
          <w:rFonts w:ascii="Times New Roman" w:hAnsi="Times New Roman"/>
          <w:sz w:val="24"/>
          <w:szCs w:val="24"/>
        </w:rPr>
        <w:t>that FDI does not have a direct impact on growth. They demonstrate that the exogenous component of FDI has no significant beneficial influence on growth, and that the advantages of FDI are dependent on other growth variables within a nation.</w:t>
      </w:r>
    </w:p>
    <w:p w14:paraId="7E126BA1" w14:textId="77777777" w:rsidR="007679D7" w:rsidRDefault="007679D7" w:rsidP="007679D7">
      <w:pPr>
        <w:spacing w:line="360" w:lineRule="auto"/>
        <w:jc w:val="both"/>
        <w:rPr>
          <w:rFonts w:ascii="Times New Roman" w:hAnsi="Times New Roman"/>
          <w:sz w:val="24"/>
          <w:szCs w:val="24"/>
        </w:rPr>
      </w:pPr>
      <w:r w:rsidRPr="000F54A5">
        <w:rPr>
          <w:rFonts w:ascii="Times New Roman" w:hAnsi="Times New Roman"/>
          <w:sz w:val="24"/>
          <w:szCs w:val="24"/>
        </w:rPr>
        <w:t>One such theory is that a country's absorptive capacity, or favorable internal conditions, plays a crucial role in releasing the beneficial benefits of FDI on GDP. This theory is based on the idea that FDI not only offers investible money but also serves as a conduit for countries to obtain access to new technologies that help them raise total factor productivity, which increases GDP. Following this logic, if favorable domestic elements to optimize the absorption of sophisticated technologies are missing, there will be no major gain in productivity and, as a result, notable economic development is improbable. Based on this, the disparity in domestic absorptive capacity between nations may help to explain why the impact of FDI on growth varies so greatly.</w:t>
      </w:r>
    </w:p>
    <w:p w14:paraId="23B7F8B9" w14:textId="77777777" w:rsidR="007679D7" w:rsidRPr="004A7ED6" w:rsidRDefault="007679D7" w:rsidP="007679D7">
      <w:pPr>
        <w:spacing w:line="360" w:lineRule="auto"/>
        <w:jc w:val="both"/>
        <w:rPr>
          <w:rFonts w:ascii="Times New Roman" w:hAnsi="Times New Roman"/>
          <w:sz w:val="24"/>
          <w:szCs w:val="24"/>
        </w:rPr>
      </w:pPr>
      <w:r w:rsidRPr="004A7ED6">
        <w:rPr>
          <w:rFonts w:ascii="Times New Roman" w:hAnsi="Times New Roman"/>
          <w:sz w:val="24"/>
          <w:szCs w:val="24"/>
        </w:rPr>
        <w:t>Absorptive capabilities are advocated by Xu (2000), and Alfaro et al. (2004). They claim that country-specific factors such as schooling level, domestic financial market development, and other domestic variables play vital roles in establishing a good FDI-growth nexus. Alfaro et al. (2004) emphasize the role of financial institutions and argue that a lack of development of local financial markets can limit an economy's ability to capitalize on potential FDI spillovers, concluding that countries with well-developed financial markets benefit more from FDI.</w:t>
      </w:r>
    </w:p>
    <w:p w14:paraId="63CDA726" w14:textId="77777777" w:rsidR="007679D7" w:rsidRPr="00997649" w:rsidRDefault="007679D7" w:rsidP="007679D7">
      <w:pPr>
        <w:spacing w:line="360" w:lineRule="auto"/>
        <w:jc w:val="both"/>
        <w:rPr>
          <w:rFonts w:ascii="Times New Roman" w:hAnsi="Times New Roman"/>
          <w:sz w:val="24"/>
          <w:szCs w:val="24"/>
        </w:rPr>
      </w:pPr>
      <w:r w:rsidRPr="00997649">
        <w:rPr>
          <w:rFonts w:ascii="Times New Roman" w:hAnsi="Times New Roman"/>
          <w:sz w:val="24"/>
          <w:szCs w:val="24"/>
        </w:rPr>
        <w:t>Numerous studies in the literature imply that domestic absorptive features such as human capital, develop financial markets, trade openness, income levels, and technological gap are necessary for positive spillovers from FDI.</w:t>
      </w:r>
      <w:r>
        <w:rPr>
          <w:rFonts w:ascii="Times New Roman" w:hAnsi="Times New Roman"/>
          <w:sz w:val="24"/>
          <w:szCs w:val="24"/>
        </w:rPr>
        <w:t xml:space="preserve"> </w:t>
      </w:r>
      <w:r w:rsidRPr="00997649">
        <w:rPr>
          <w:rFonts w:ascii="Times New Roman" w:hAnsi="Times New Roman"/>
          <w:sz w:val="24"/>
          <w:szCs w:val="24"/>
        </w:rPr>
        <w:t xml:space="preserve">For the benefits of foreign direct investment (FDI) to percolate across an economy's many sectors, </w:t>
      </w:r>
      <w:r w:rsidRPr="00997649">
        <w:rPr>
          <w:rFonts w:ascii="Times New Roman" w:hAnsi="Times New Roman"/>
          <w:sz w:val="24"/>
          <w:szCs w:val="24"/>
        </w:rPr>
        <w:lastRenderedPageBreak/>
        <w:t xml:space="preserve">a highly educated labor force is necessary, as stated by Bornstein et al. (1998). In other words, when host nations achieve certain levels of human capital, FDI encourages growth. Their research suggests that FDI's benefits are realized not just via capital accumulation but also through the spread of technology. Foreign direct investment (FDI) is most helpful to nations that already have robust domestic financial markets, according to research by Alfaro et al. (2004). </w:t>
      </w:r>
    </w:p>
    <w:p w14:paraId="639243C1" w14:textId="77777777" w:rsidR="007679D7" w:rsidRPr="00C215D5" w:rsidRDefault="007679D7" w:rsidP="007679D7">
      <w:pPr>
        <w:spacing w:line="360" w:lineRule="auto"/>
        <w:jc w:val="both"/>
        <w:rPr>
          <w:rFonts w:ascii="Times New Roman" w:hAnsi="Times New Roman"/>
          <w:sz w:val="24"/>
          <w:szCs w:val="24"/>
        </w:rPr>
      </w:pPr>
      <w:r w:rsidRPr="007F5D2A">
        <w:rPr>
          <w:rFonts w:ascii="Times New Roman" w:hAnsi="Times New Roman"/>
          <w:sz w:val="24"/>
          <w:szCs w:val="24"/>
        </w:rPr>
        <w:t xml:space="preserve">In general, the empirical research listed above that has examined the FDI-growth nexus indicates that the positive spillover effects of FDI derive from a collection of favorable domestic behaviors. Human capital, domestic financial market development, trade openness, basic income levels, macroeconomic stability, growth in population, and so on all have a role. In this work, </w:t>
      </w:r>
      <w:r>
        <w:rPr>
          <w:rFonts w:ascii="Times New Roman" w:hAnsi="Times New Roman"/>
          <w:sz w:val="24"/>
          <w:szCs w:val="24"/>
        </w:rPr>
        <w:t>I</w:t>
      </w:r>
      <w:r w:rsidRPr="007F5D2A">
        <w:rPr>
          <w:rFonts w:ascii="Times New Roman" w:hAnsi="Times New Roman"/>
          <w:sz w:val="24"/>
          <w:szCs w:val="24"/>
        </w:rPr>
        <w:t xml:space="preserve"> use these absorbent capacities to analyze how much they affect the FDI-growth nexus in </w:t>
      </w:r>
      <w:r>
        <w:rPr>
          <w:rFonts w:ascii="Times New Roman" w:hAnsi="Times New Roman"/>
          <w:sz w:val="24"/>
          <w:szCs w:val="24"/>
        </w:rPr>
        <w:t>Georgia</w:t>
      </w:r>
      <w:r w:rsidRPr="007F5D2A">
        <w:rPr>
          <w:rFonts w:ascii="Times New Roman" w:hAnsi="Times New Roman"/>
          <w:sz w:val="24"/>
          <w:szCs w:val="24"/>
        </w:rPr>
        <w:t>.</w:t>
      </w:r>
      <w:r>
        <w:rPr>
          <w:rFonts w:ascii="Times New Roman" w:hAnsi="Times New Roman"/>
          <w:sz w:val="24"/>
          <w:szCs w:val="24"/>
        </w:rPr>
        <w:t xml:space="preserve"> </w:t>
      </w:r>
      <w:r w:rsidRPr="007F5D2A">
        <w:rPr>
          <w:rFonts w:ascii="Times New Roman" w:hAnsi="Times New Roman"/>
          <w:sz w:val="24"/>
          <w:szCs w:val="24"/>
        </w:rPr>
        <w:t xml:space="preserve">This means </w:t>
      </w:r>
      <w:r>
        <w:rPr>
          <w:rFonts w:ascii="Times New Roman" w:hAnsi="Times New Roman"/>
          <w:sz w:val="24"/>
          <w:szCs w:val="24"/>
        </w:rPr>
        <w:t>I</w:t>
      </w:r>
      <w:r w:rsidRPr="007F5D2A">
        <w:rPr>
          <w:rFonts w:ascii="Times New Roman" w:hAnsi="Times New Roman"/>
          <w:sz w:val="24"/>
          <w:szCs w:val="24"/>
        </w:rPr>
        <w:t xml:space="preserve"> assess how high or low these parameters may go to change the effect of FDI on growth in </w:t>
      </w:r>
      <w:r>
        <w:rPr>
          <w:rFonts w:ascii="Times New Roman" w:hAnsi="Times New Roman"/>
          <w:sz w:val="24"/>
          <w:szCs w:val="24"/>
        </w:rPr>
        <w:t>Georgi</w:t>
      </w:r>
      <w:r w:rsidRPr="007F5D2A">
        <w:rPr>
          <w:rFonts w:ascii="Times New Roman" w:hAnsi="Times New Roman"/>
          <w:sz w:val="24"/>
          <w:szCs w:val="24"/>
        </w:rPr>
        <w:t>, and the implications of these findings. As models that divide data samples into regimes of high and low absorptive capacities based on whether the threshold variables exceed their estimated threshold values, threshold regression models are a suitable empirical framework for such analysis when the threshold variables and values are the domestic absorptive capacities and levels. The threshold values are estimated based on the information at hand. To the best of our knowledge, this research is the first to apply the panel threshold paradigm to the challenge of estimating the growth effect of FDI in</w:t>
      </w:r>
      <w:r>
        <w:rPr>
          <w:rFonts w:ascii="Times New Roman" w:hAnsi="Times New Roman"/>
          <w:sz w:val="24"/>
          <w:szCs w:val="24"/>
        </w:rPr>
        <w:t xml:space="preserve"> Georgia</w:t>
      </w:r>
      <w:r w:rsidRPr="007F5D2A">
        <w:rPr>
          <w:rFonts w:ascii="Times New Roman" w:hAnsi="Times New Roman"/>
          <w:sz w:val="24"/>
          <w:szCs w:val="24"/>
        </w:rPr>
        <w:t xml:space="preserve"> by including all absorptive capabilities. </w:t>
      </w:r>
    </w:p>
    <w:p w14:paraId="7D3E32FA" w14:textId="77777777" w:rsidR="007679D7" w:rsidRDefault="007679D7" w:rsidP="007679D7">
      <w:pPr>
        <w:spacing w:line="360" w:lineRule="auto"/>
        <w:jc w:val="both"/>
        <w:rPr>
          <w:rFonts w:ascii="Times New Roman" w:hAnsi="Times New Roman"/>
          <w:sz w:val="24"/>
          <w:szCs w:val="24"/>
        </w:rPr>
      </w:pPr>
      <w:r w:rsidRPr="003D6C72">
        <w:rPr>
          <w:rFonts w:ascii="Times New Roman" w:hAnsi="Times New Roman"/>
          <w:sz w:val="24"/>
          <w:szCs w:val="24"/>
        </w:rPr>
        <w:t xml:space="preserve">The methodology of threshold regression modeling is widely used in the fields of finance and economics. </w:t>
      </w:r>
      <w:r>
        <w:rPr>
          <w:rFonts w:ascii="Times New Roman" w:hAnsi="Times New Roman"/>
          <w:sz w:val="24"/>
          <w:szCs w:val="24"/>
        </w:rPr>
        <w:t>P</w:t>
      </w:r>
      <w:r w:rsidRPr="003D6C72">
        <w:rPr>
          <w:rFonts w:ascii="Times New Roman" w:hAnsi="Times New Roman"/>
          <w:sz w:val="24"/>
          <w:szCs w:val="24"/>
        </w:rPr>
        <w:t xml:space="preserve">rimary goal in this paper is to use the concept of thresholds to test whether the empirical relationship between FDI and growth in </w:t>
      </w:r>
      <w:r>
        <w:rPr>
          <w:rFonts w:ascii="Times New Roman" w:hAnsi="Times New Roman"/>
          <w:sz w:val="24"/>
          <w:szCs w:val="24"/>
        </w:rPr>
        <w:t>Georgia</w:t>
      </w:r>
      <w:r w:rsidRPr="003D6C72">
        <w:rPr>
          <w:rFonts w:ascii="Times New Roman" w:hAnsi="Times New Roman"/>
          <w:sz w:val="24"/>
          <w:szCs w:val="24"/>
        </w:rPr>
        <w:t xml:space="preserve"> is </w:t>
      </w:r>
      <w:r>
        <w:rPr>
          <w:rFonts w:ascii="Times New Roman" w:hAnsi="Times New Roman"/>
          <w:sz w:val="24"/>
          <w:szCs w:val="24"/>
        </w:rPr>
        <w:t>affected</w:t>
      </w:r>
      <w:r w:rsidRPr="003D6C72">
        <w:rPr>
          <w:rFonts w:ascii="Times New Roman" w:hAnsi="Times New Roman"/>
          <w:sz w:val="24"/>
          <w:szCs w:val="24"/>
        </w:rPr>
        <w:t xml:space="preserve"> to sample splitting, where the sample split is based on a list of selected variables</w:t>
      </w:r>
      <w:r>
        <w:rPr>
          <w:rFonts w:ascii="Times New Roman" w:hAnsi="Times New Roman"/>
          <w:sz w:val="24"/>
          <w:szCs w:val="24"/>
        </w:rPr>
        <w:t xml:space="preserve"> </w:t>
      </w:r>
      <w:r w:rsidRPr="003D6C72">
        <w:rPr>
          <w:rFonts w:ascii="Times New Roman" w:hAnsi="Times New Roman"/>
          <w:sz w:val="24"/>
          <w:szCs w:val="24"/>
        </w:rPr>
        <w:t xml:space="preserve">that are representative of key economic characteristics serving as the threshold variables. </w:t>
      </w:r>
      <w:r>
        <w:rPr>
          <w:rFonts w:ascii="Times New Roman" w:hAnsi="Times New Roman"/>
          <w:sz w:val="24"/>
          <w:szCs w:val="24"/>
        </w:rPr>
        <w:t>It</w:t>
      </w:r>
      <w:r w:rsidRPr="003D6C72">
        <w:rPr>
          <w:rFonts w:ascii="Times New Roman" w:hAnsi="Times New Roman"/>
          <w:sz w:val="24"/>
          <w:szCs w:val="24"/>
        </w:rPr>
        <w:t xml:space="preserve"> can infer that the threshold variable enabling the sample split affects the association between FDI and growth if </w:t>
      </w:r>
      <w:r>
        <w:rPr>
          <w:rFonts w:ascii="Times New Roman" w:hAnsi="Times New Roman"/>
          <w:sz w:val="24"/>
          <w:szCs w:val="24"/>
        </w:rPr>
        <w:t xml:space="preserve">it is </w:t>
      </w:r>
      <w:r w:rsidRPr="003D6C72">
        <w:rPr>
          <w:rFonts w:ascii="Times New Roman" w:hAnsi="Times New Roman"/>
          <w:sz w:val="24"/>
          <w:szCs w:val="24"/>
        </w:rPr>
        <w:t>discovered evidence that such a split produces different results for the relationship between FDI and growth across the split samples.</w:t>
      </w:r>
      <w:r>
        <w:rPr>
          <w:rFonts w:ascii="Times New Roman" w:hAnsi="Times New Roman"/>
          <w:sz w:val="24"/>
          <w:szCs w:val="24"/>
        </w:rPr>
        <w:t xml:space="preserve"> There </w:t>
      </w:r>
      <w:r w:rsidRPr="003D6C72">
        <w:rPr>
          <w:rFonts w:ascii="Times New Roman" w:hAnsi="Times New Roman"/>
          <w:sz w:val="24"/>
          <w:szCs w:val="24"/>
        </w:rPr>
        <w:t>is a "cutoff" value for the threshold variable beyond which the correlation between FDI and growth begins to weaken. An example would be if FDI slowed growth when inflation was over x percent but helped when it was below x percent. On the other hand, it's possible that foreign direct investment (FDI) has the same effect on growth whether inflation is above or below x percent, meaning that it either speeds up or slows down growth.</w:t>
      </w:r>
    </w:p>
    <w:p w14:paraId="5636A84A" w14:textId="77777777" w:rsidR="007679D7" w:rsidRPr="005F130E" w:rsidRDefault="007679D7" w:rsidP="007679D7">
      <w:pPr>
        <w:spacing w:line="360" w:lineRule="auto"/>
        <w:jc w:val="both"/>
        <w:rPr>
          <w:rFonts w:ascii="Times New Roman" w:hAnsi="Times New Roman"/>
          <w:sz w:val="24"/>
          <w:szCs w:val="24"/>
        </w:rPr>
      </w:pPr>
      <w:r w:rsidRPr="005F130E">
        <w:rPr>
          <w:rFonts w:ascii="Times New Roman" w:hAnsi="Times New Roman"/>
          <w:sz w:val="24"/>
          <w:szCs w:val="24"/>
        </w:rPr>
        <w:t>Azman-Sainiet al. (2010a, b) examined in 91 countries between 1975 and 2005 by using the threshold technique.</w:t>
      </w:r>
      <w:r>
        <w:rPr>
          <w:rFonts w:ascii="Times New Roman" w:hAnsi="Times New Roman"/>
          <w:sz w:val="24"/>
          <w:szCs w:val="24"/>
        </w:rPr>
        <w:t xml:space="preserve"> Findings </w:t>
      </w:r>
      <w:r w:rsidRPr="005F130E">
        <w:rPr>
          <w:rFonts w:ascii="Times New Roman" w:hAnsi="Times New Roman"/>
          <w:sz w:val="24"/>
          <w:szCs w:val="24"/>
        </w:rPr>
        <w:t xml:space="preserve">has shown that the threshold method is a successful tool for analyzing the nonlinear </w:t>
      </w:r>
      <w:r w:rsidRPr="005F130E">
        <w:rPr>
          <w:rFonts w:ascii="Times New Roman" w:hAnsi="Times New Roman"/>
          <w:sz w:val="24"/>
          <w:szCs w:val="24"/>
        </w:rPr>
        <w:lastRenderedPageBreak/>
        <w:t>relationship between FDI, FD, and growth.</w:t>
      </w:r>
      <w:r>
        <w:rPr>
          <w:rFonts w:ascii="Times New Roman" w:hAnsi="Times New Roman"/>
          <w:sz w:val="24"/>
          <w:szCs w:val="24"/>
        </w:rPr>
        <w:t xml:space="preserve"> In the same construct, </w:t>
      </w:r>
      <w:r w:rsidRPr="005F130E">
        <w:rPr>
          <w:rFonts w:ascii="Times New Roman" w:hAnsi="Times New Roman"/>
          <w:sz w:val="24"/>
          <w:szCs w:val="24"/>
        </w:rPr>
        <w:t>Chen and Quang (2014)</w:t>
      </w:r>
      <w:r>
        <w:rPr>
          <w:rFonts w:ascii="Times New Roman" w:hAnsi="Times New Roman"/>
          <w:sz w:val="24"/>
          <w:szCs w:val="24"/>
        </w:rPr>
        <w:t xml:space="preserve"> reveal in their research to investigate</w:t>
      </w:r>
      <w:r w:rsidRPr="005F130E">
        <w:rPr>
          <w:rFonts w:ascii="Times New Roman" w:hAnsi="Times New Roman"/>
          <w:sz w:val="24"/>
          <w:szCs w:val="24"/>
        </w:rPr>
        <w:t xml:space="preserve"> </w:t>
      </w:r>
      <w:r>
        <w:rPr>
          <w:rFonts w:ascii="Times New Roman" w:hAnsi="Times New Roman"/>
          <w:sz w:val="24"/>
          <w:szCs w:val="24"/>
        </w:rPr>
        <w:t>f</w:t>
      </w:r>
      <w:r w:rsidRPr="005F130E">
        <w:rPr>
          <w:rFonts w:ascii="Times New Roman" w:hAnsi="Times New Roman"/>
          <w:sz w:val="24"/>
          <w:szCs w:val="24"/>
        </w:rPr>
        <w:t>oreign direct investment (FDI) and economic growth</w:t>
      </w:r>
      <w:r>
        <w:rPr>
          <w:rFonts w:ascii="Times New Roman" w:hAnsi="Times New Roman"/>
          <w:sz w:val="24"/>
          <w:szCs w:val="24"/>
        </w:rPr>
        <w:t xml:space="preserve"> on the data of </w:t>
      </w:r>
      <w:r w:rsidRPr="005F130E">
        <w:rPr>
          <w:rFonts w:ascii="Times New Roman" w:hAnsi="Times New Roman"/>
          <w:sz w:val="24"/>
          <w:szCs w:val="24"/>
        </w:rPr>
        <w:t xml:space="preserve">80 countries between 1984 and 2007 </w:t>
      </w:r>
      <w:r>
        <w:rPr>
          <w:rFonts w:ascii="Times New Roman" w:hAnsi="Times New Roman"/>
          <w:sz w:val="24"/>
          <w:szCs w:val="24"/>
        </w:rPr>
        <w:t>by applying panel</w:t>
      </w:r>
      <w:r w:rsidRPr="005F130E">
        <w:rPr>
          <w:rFonts w:ascii="Times New Roman" w:hAnsi="Times New Roman"/>
          <w:sz w:val="24"/>
          <w:szCs w:val="24"/>
        </w:rPr>
        <w:t xml:space="preserve"> threshold regression to examine the effect of global financial integration on economic growth. In particular, they determined a single FD threshold value that moderates the nonlinear interaction between FDI and equity liabilities in investment portfolios. Baharumshah et al. (2017) used panel threshold regression on 80 cross-sections of developed, emerging, and developing countries from 1975 to 2007 and found that the development of the local financial sector has a strong threshold effect on the linkages between FDI and growth.</w:t>
      </w:r>
    </w:p>
    <w:p w14:paraId="09E3084F" w14:textId="77777777" w:rsidR="007679D7" w:rsidRDefault="007679D7" w:rsidP="007679D7">
      <w:pPr>
        <w:spacing w:line="360" w:lineRule="auto"/>
        <w:jc w:val="both"/>
        <w:rPr>
          <w:rFonts w:ascii="Times New Roman" w:hAnsi="Times New Roman"/>
          <w:sz w:val="24"/>
          <w:szCs w:val="24"/>
        </w:rPr>
      </w:pPr>
      <w:r w:rsidRPr="0022688D">
        <w:rPr>
          <w:rFonts w:ascii="Times New Roman" w:hAnsi="Times New Roman"/>
          <w:sz w:val="24"/>
          <w:szCs w:val="24"/>
        </w:rPr>
        <w:t xml:space="preserve">If you want to know what kind of economic conditions or causes will lead to a positive FDI-growth nexus, the threshold technique can help you figure that out. Could the good impacts of FDI on growth, to the extent that they exist, be stifled by high inflation, causing FDI to have a negative influence on </w:t>
      </w:r>
      <w:r w:rsidRPr="00DD0775">
        <w:rPr>
          <w:rFonts w:ascii="Times New Roman" w:hAnsi="Times New Roman"/>
          <w:sz w:val="24"/>
          <w:szCs w:val="24"/>
        </w:rPr>
        <w:t xml:space="preserve">growth? Does Georgia </w:t>
      </w:r>
      <w:r w:rsidRPr="0022688D">
        <w:rPr>
          <w:rFonts w:ascii="Times New Roman" w:hAnsi="Times New Roman"/>
          <w:sz w:val="24"/>
          <w:szCs w:val="24"/>
        </w:rPr>
        <w:t>have a tipping point for when foreign direct investment (FDI) leads to economic expansion, in terms of either trade openness or population growth? Threshold analysis provides the most fruitful context for addressing these concerns.</w:t>
      </w:r>
    </w:p>
    <w:p w14:paraId="65C287FA" w14:textId="77777777" w:rsidR="007679D7" w:rsidRPr="00AB1E29" w:rsidRDefault="007679D7" w:rsidP="007679D7">
      <w:pPr>
        <w:spacing w:line="360" w:lineRule="auto"/>
        <w:jc w:val="both"/>
        <w:rPr>
          <w:rFonts w:ascii="Times New Roman" w:hAnsi="Times New Roman"/>
          <w:sz w:val="24"/>
          <w:szCs w:val="24"/>
        </w:rPr>
      </w:pPr>
      <w:r w:rsidRPr="00AB1E29">
        <w:rPr>
          <w:rFonts w:ascii="Times New Roman" w:hAnsi="Times New Roman"/>
          <w:sz w:val="24"/>
          <w:szCs w:val="24"/>
        </w:rPr>
        <w:t xml:space="preserve">Trade openness (TO): According to Rajan and Zingales (2003), when a country is open to trade, it fosters rivalry in its home markets, lowers the profit of its established domestic enterprises, compels them to raise their investment, and demands the use of foreign finance sources. However, the need for external investment does not necessitate an upgrade to the financial system. Instead, sector incumbents may be permitted to use their own finance or apply for government loan subsidies, albeit this would lead to less openness in the financial system because of unnecessary government meddling. According to Rajan and Zingales' findings (Rajan &amp; Zingales, 2003), industry incumbents may not be able to stimulate financial development just via trade liberalization. The environment is better when trade and financial openness are combined because industrial firms are less stressed by the competition brought on by trade openness, which results in financial requirements, than they are when financial openness is absent and industrial incumbents may not be opposed to financial development (Rajan &amp; Zingales, 2003). </w:t>
      </w:r>
    </w:p>
    <w:p w14:paraId="72E77462" w14:textId="77777777"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 xml:space="preserve">Inflation (INF): </w:t>
      </w:r>
      <w:r w:rsidRPr="00AB1E29">
        <w:rPr>
          <w:rFonts w:ascii="Times New Roman" w:hAnsi="Times New Roman"/>
          <w:sz w:val="24"/>
          <w:szCs w:val="24"/>
        </w:rPr>
        <w:t>Azariadis and Smith (1996) theorized that because of the greater tax on financial assets like bank deposits, a higher inflation rate limits the willingness of lenders to offer extra cash to borrowers at the existing market interest rate. Thus, rising inflation results in lower expected incomes and less incentive to engage in investment activities.</w:t>
      </w:r>
    </w:p>
    <w:p w14:paraId="3468C964" w14:textId="77777777" w:rsidR="007679D7" w:rsidRDefault="007679D7" w:rsidP="007679D7">
      <w:pPr>
        <w:spacing w:line="360" w:lineRule="auto"/>
        <w:jc w:val="both"/>
        <w:rPr>
          <w:rFonts w:ascii="Times New Roman" w:hAnsi="Times New Roman"/>
          <w:sz w:val="24"/>
          <w:szCs w:val="24"/>
        </w:rPr>
      </w:pPr>
      <w:r w:rsidRPr="00AB1E29">
        <w:rPr>
          <w:rFonts w:ascii="Times New Roman" w:hAnsi="Times New Roman"/>
          <w:sz w:val="24"/>
          <w:szCs w:val="24"/>
        </w:rPr>
        <w:lastRenderedPageBreak/>
        <w:t>According to Kim &amp; Lin (2010), there is both a positive short-run association and a negative long-run relationship between inflation and financial development.</w:t>
      </w:r>
      <w:r>
        <w:rPr>
          <w:rFonts w:ascii="Times New Roman" w:hAnsi="Times New Roman"/>
          <w:sz w:val="24"/>
          <w:szCs w:val="24"/>
        </w:rPr>
        <w:t xml:space="preserve"> </w:t>
      </w:r>
      <w:r w:rsidRPr="00AB1E29">
        <w:rPr>
          <w:rFonts w:ascii="Times New Roman" w:hAnsi="Times New Roman"/>
          <w:sz w:val="24"/>
          <w:szCs w:val="24"/>
        </w:rPr>
        <w:t xml:space="preserve">Inflation reduces the dependability and accessibility of financial information, according to Rousseau and Yilmazkuday (2009). Thus, lenders would prioritize short-term profit over long-term investment, which will cause credit to be directed toward loans that are more likely to be used to fund ongoing expenses than long-term capital projects. </w:t>
      </w:r>
    </w:p>
    <w:p w14:paraId="3302C97C" w14:textId="77777777" w:rsidR="007679D7" w:rsidRPr="00AB1E29" w:rsidRDefault="007679D7" w:rsidP="007679D7">
      <w:pPr>
        <w:spacing w:line="360" w:lineRule="auto"/>
        <w:rPr>
          <w:rFonts w:ascii="Times New Roman" w:hAnsi="Times New Roman"/>
          <w:sz w:val="24"/>
          <w:szCs w:val="24"/>
        </w:rPr>
      </w:pPr>
      <w:r w:rsidRPr="00AB1E29">
        <w:rPr>
          <w:rFonts w:ascii="Times New Roman" w:hAnsi="Times New Roman"/>
          <w:sz w:val="24"/>
          <w:szCs w:val="24"/>
        </w:rPr>
        <w:t>Population growth (PG): Population size is also strongly tied to measures of financial development since small nations often have greater percentages of liquid liabilities and private credit, which have the ability to significantly affect total outcomes (Huang, 2010).</w:t>
      </w:r>
    </w:p>
    <w:p w14:paraId="0CF870D1" w14:textId="31CE15FA" w:rsidR="007679D7" w:rsidRDefault="00DD0775" w:rsidP="007679D7">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2. </w:t>
      </w:r>
      <w:r w:rsidR="007679D7" w:rsidRPr="00D44DE9">
        <w:rPr>
          <w:rFonts w:ascii="Times New Roman" w:hAnsi="Times New Roman"/>
          <w:b/>
          <w:bCs/>
          <w:sz w:val="24"/>
          <w:szCs w:val="24"/>
        </w:rPr>
        <w:t>Methodology</w:t>
      </w:r>
      <w:r w:rsidR="007679D7">
        <w:rPr>
          <w:rFonts w:ascii="Times New Roman" w:hAnsi="Times New Roman"/>
          <w:b/>
          <w:bCs/>
          <w:sz w:val="24"/>
          <w:szCs w:val="24"/>
        </w:rPr>
        <w:t xml:space="preserve"> and Data</w:t>
      </w:r>
    </w:p>
    <w:p w14:paraId="320CC271" w14:textId="77777777" w:rsidR="007679D7" w:rsidRPr="003E33F0" w:rsidRDefault="007679D7" w:rsidP="007679D7">
      <w:pPr>
        <w:spacing w:line="360" w:lineRule="auto"/>
        <w:jc w:val="both"/>
        <w:rPr>
          <w:rFonts w:ascii="Times New Roman" w:hAnsi="Times New Roman"/>
          <w:sz w:val="24"/>
          <w:szCs w:val="24"/>
        </w:rPr>
      </w:pPr>
      <w:r w:rsidRPr="003E33F0">
        <w:rPr>
          <w:rFonts w:ascii="Times New Roman" w:hAnsi="Times New Roman"/>
          <w:sz w:val="24"/>
          <w:szCs w:val="24"/>
        </w:rPr>
        <w:t>Hansen (2000) created the panel threshold model, which is now commonly used to examine nonlinear associations. Using these models, we can check to determine whether there is any inconsistency between the regression coefficients across distinct subsets of the data. Numerous researches have used the fixed effects threshold model to simulate economic expansion.Khan and Senhadji (2001) applied the same model to examine the relationship between the inflation threshold and GDP growth.</w:t>
      </w:r>
      <w:r w:rsidRPr="00E75770">
        <w:rPr>
          <w:rFonts w:ascii="Times New Roman" w:hAnsi="Times New Roman"/>
          <w:sz w:val="24"/>
          <w:szCs w:val="24"/>
        </w:rPr>
        <w:t xml:space="preserve"> </w:t>
      </w:r>
      <w:r w:rsidRPr="003E33F0">
        <w:rPr>
          <w:rFonts w:ascii="Times New Roman" w:hAnsi="Times New Roman"/>
          <w:sz w:val="24"/>
          <w:szCs w:val="24"/>
        </w:rPr>
        <w:t>Adam and Bevan (2005) utilized fixed effects threshold model to examine the relationship between the budget deficit and GDP growth</w:t>
      </w:r>
    </w:p>
    <w:p w14:paraId="2E8C2B97" w14:textId="77777777" w:rsidR="007679D7" w:rsidRPr="003E33F0" w:rsidRDefault="007679D7" w:rsidP="007679D7">
      <w:pPr>
        <w:spacing w:line="360" w:lineRule="auto"/>
        <w:jc w:val="both"/>
        <w:rPr>
          <w:rFonts w:ascii="Times New Roman" w:hAnsi="Times New Roman"/>
          <w:sz w:val="24"/>
          <w:szCs w:val="24"/>
        </w:rPr>
      </w:pPr>
      <w:r w:rsidRPr="003E33F0">
        <w:rPr>
          <w:rFonts w:ascii="Times New Roman" w:hAnsi="Times New Roman"/>
          <w:sz w:val="24"/>
          <w:szCs w:val="24"/>
        </w:rPr>
        <w:t>Azman-Sainiet al. (2010) used a fixed effects threshold model to look into whether or not a certain degree of financial development was necessary to determine the FDI-growth link.</w:t>
      </w:r>
      <w:r>
        <w:rPr>
          <w:rFonts w:ascii="Times New Roman" w:hAnsi="Times New Roman"/>
          <w:sz w:val="24"/>
          <w:szCs w:val="24"/>
        </w:rPr>
        <w:t xml:space="preserve"> In this thesis, </w:t>
      </w:r>
      <w:r w:rsidRPr="003E33F0">
        <w:rPr>
          <w:rFonts w:ascii="Times New Roman" w:hAnsi="Times New Roman"/>
          <w:sz w:val="24"/>
          <w:szCs w:val="24"/>
        </w:rPr>
        <w:t>the fixed effects threshold</w:t>
      </w:r>
      <w:r>
        <w:rPr>
          <w:rFonts w:ascii="Times New Roman" w:hAnsi="Times New Roman"/>
          <w:sz w:val="24"/>
          <w:szCs w:val="24"/>
        </w:rPr>
        <w:t xml:space="preserve"> model is  </w:t>
      </w:r>
      <w:r w:rsidRPr="003E33F0">
        <w:rPr>
          <w:rFonts w:ascii="Times New Roman" w:hAnsi="Times New Roman"/>
          <w:sz w:val="24"/>
          <w:szCs w:val="24"/>
        </w:rPr>
        <w:t xml:space="preserve"> utilize</w:t>
      </w:r>
      <w:r>
        <w:rPr>
          <w:rFonts w:ascii="Times New Roman" w:hAnsi="Times New Roman"/>
          <w:sz w:val="24"/>
          <w:szCs w:val="24"/>
        </w:rPr>
        <w:t xml:space="preserve">d </w:t>
      </w:r>
      <w:r w:rsidRPr="003E33F0">
        <w:rPr>
          <w:rFonts w:ascii="Times New Roman" w:hAnsi="Times New Roman"/>
          <w:sz w:val="24"/>
          <w:szCs w:val="24"/>
        </w:rPr>
        <w:t>to study the impact of natural resources on the FDI-growth connection.</w:t>
      </w:r>
    </w:p>
    <w:p w14:paraId="5270FEB8" w14:textId="77777777" w:rsidR="007679D7" w:rsidRDefault="007679D7" w:rsidP="007679D7">
      <w:pPr>
        <w:spacing w:line="360" w:lineRule="auto"/>
        <w:jc w:val="both"/>
        <w:rPr>
          <w:rFonts w:ascii="Times New Roman" w:hAnsi="Times New Roman"/>
          <w:sz w:val="24"/>
          <w:szCs w:val="24"/>
        </w:rPr>
      </w:pPr>
      <w:r w:rsidRPr="003E33F0">
        <w:rPr>
          <w:rFonts w:ascii="Times New Roman" w:hAnsi="Times New Roman"/>
          <w:sz w:val="24"/>
          <w:szCs w:val="24"/>
        </w:rPr>
        <w:t>Model has a threshold variable (</w:t>
      </w:r>
      <w:r>
        <w:rPr>
          <w:rFonts w:ascii="Times New Roman" w:hAnsi="Times New Roman"/>
          <w:sz w:val="24"/>
          <w:szCs w:val="24"/>
        </w:rPr>
        <w:t>TRH</w:t>
      </w:r>
      <w:r w:rsidRPr="00DB22D3">
        <w:rPr>
          <w:rFonts w:ascii="Times New Roman" w:hAnsi="Times New Roman"/>
          <w:sz w:val="24"/>
          <w:szCs w:val="24"/>
          <w:vertAlign w:val="subscript"/>
        </w:rPr>
        <w:t>t</w:t>
      </w:r>
      <w:r w:rsidRPr="003E33F0">
        <w:rPr>
          <w:rFonts w:ascii="Times New Roman" w:hAnsi="Times New Roman"/>
          <w:sz w:val="24"/>
          <w:szCs w:val="24"/>
        </w:rPr>
        <w:t xml:space="preserve">) that divides the sample in half based on whether or not the country's </w:t>
      </w:r>
      <w:r>
        <w:rPr>
          <w:rFonts w:ascii="Times New Roman" w:hAnsi="Times New Roman"/>
          <w:sz w:val="24"/>
          <w:szCs w:val="24"/>
        </w:rPr>
        <w:t>TRH</w:t>
      </w:r>
      <w:r w:rsidRPr="00DB22D3">
        <w:rPr>
          <w:rFonts w:ascii="Times New Roman" w:hAnsi="Times New Roman"/>
          <w:sz w:val="24"/>
          <w:szCs w:val="24"/>
          <w:vertAlign w:val="subscript"/>
        </w:rPr>
        <w:t>t</w:t>
      </w:r>
      <w:r w:rsidRPr="003E33F0">
        <w:rPr>
          <w:rFonts w:ascii="Times New Roman" w:hAnsi="Times New Roman"/>
          <w:sz w:val="24"/>
          <w:szCs w:val="24"/>
        </w:rPr>
        <w:t xml:space="preserve"> is above or below the threshold value.</w:t>
      </w:r>
    </w:p>
    <w:p w14:paraId="53E8C1E4" w14:textId="77777777" w:rsidR="007679D7" w:rsidRPr="007D319A" w:rsidRDefault="007679D7" w:rsidP="007679D7">
      <w:pPr>
        <w:spacing w:line="360" w:lineRule="auto"/>
        <w:jc w:val="both"/>
        <w:rPr>
          <w:rFonts w:ascii="Times New Roman" w:eastAsiaTheme="minorEastAsia" w:hAnsi="Times New Roman"/>
          <w:sz w:val="24"/>
          <w:szCs w:val="24"/>
        </w:rPr>
      </w:pPr>
      <m:oMathPara>
        <m:oMath>
          <m:r>
            <w:rPr>
              <w:rFonts w:ascii="Cambria Math" w:hAnsi="Cambria Math"/>
              <w:sz w:val="24"/>
              <w:szCs w:val="24"/>
            </w:rPr>
            <m:t>Yt=a+βXt+η</m:t>
          </m:r>
          <m:d>
            <m:dPr>
              <m:ctrlPr>
                <w:rPr>
                  <w:rFonts w:ascii="Cambria Math" w:hAnsi="Cambria Math"/>
                  <w:i/>
                  <w:sz w:val="24"/>
                  <w:szCs w:val="24"/>
                </w:rPr>
              </m:ctrlPr>
            </m:dPr>
            <m:e>
              <m:f>
                <m:fPr>
                  <m:type m:val="noBar"/>
                  <m:ctrlPr>
                    <w:rPr>
                      <w:rFonts w:ascii="Cambria Math" w:hAnsi="Cambria Math"/>
                      <w:i/>
                      <w:sz w:val="24"/>
                      <w:szCs w:val="24"/>
                    </w:rPr>
                  </m:ctrlPr>
                </m:fPr>
                <m:num>
                  <m:r>
                    <w:rPr>
                      <w:rFonts w:ascii="Cambria Math" w:hAnsi="Cambria Math"/>
                      <w:sz w:val="24"/>
                      <w:szCs w:val="24"/>
                    </w:rPr>
                    <m:t>FDIt,  TRHt ≤γ</m:t>
                  </m:r>
                </m:num>
                <m:den>
                  <m:r>
                    <w:rPr>
                      <w:rFonts w:ascii="Cambria Math" w:hAnsi="Cambria Math"/>
                      <w:sz w:val="24"/>
                      <w:szCs w:val="24"/>
                    </w:rPr>
                    <m:t>FDIt, TRHt&gt;γ</m:t>
                  </m:r>
                </m:den>
              </m:f>
            </m:e>
          </m:d>
          <m:r>
            <w:rPr>
              <w:rFonts w:ascii="Cambria Math" w:hAnsi="Cambria Math"/>
              <w:sz w:val="24"/>
              <w:szCs w:val="24"/>
            </w:rPr>
            <m:t>+et</m:t>
          </m:r>
        </m:oMath>
      </m:oMathPara>
    </w:p>
    <w:p w14:paraId="23633AFF" w14:textId="77777777" w:rsidR="007679D7" w:rsidRDefault="007679D7" w:rsidP="007679D7">
      <w:pPr>
        <w:spacing w:line="360" w:lineRule="auto"/>
        <w:jc w:val="both"/>
        <w:rPr>
          <w:rFonts w:ascii="Times New Roman" w:hAnsi="Times New Roman"/>
          <w:sz w:val="24"/>
          <w:szCs w:val="24"/>
        </w:rPr>
      </w:pPr>
      <w:r w:rsidRPr="007D319A">
        <w:rPr>
          <w:rFonts w:ascii="Times New Roman" w:hAnsi="Times New Roman"/>
          <w:sz w:val="24"/>
          <w:szCs w:val="24"/>
        </w:rPr>
        <w:t>Y</w:t>
      </w:r>
      <w:r w:rsidRPr="007D319A">
        <w:rPr>
          <w:rFonts w:ascii="Times New Roman" w:hAnsi="Times New Roman"/>
          <w:sz w:val="24"/>
          <w:szCs w:val="24"/>
          <w:vertAlign w:val="subscript"/>
        </w:rPr>
        <w:t>t</w:t>
      </w:r>
      <w:r w:rsidRPr="007D319A">
        <w:rPr>
          <w:rFonts w:ascii="Times New Roman" w:hAnsi="Times New Roman"/>
          <w:sz w:val="24"/>
          <w:szCs w:val="24"/>
        </w:rPr>
        <w:t xml:space="preserve"> represents the growth rate of real GDP per person and FDI.</w:t>
      </w:r>
      <w:r>
        <w:rPr>
          <w:rFonts w:ascii="Times New Roman" w:hAnsi="Times New Roman"/>
          <w:sz w:val="24"/>
          <w:szCs w:val="24"/>
        </w:rPr>
        <w:t xml:space="preserve"> </w:t>
      </w:r>
      <w:r w:rsidRPr="007D319A">
        <w:rPr>
          <w:rFonts w:ascii="Times New Roman" w:hAnsi="Times New Roman"/>
          <w:sz w:val="24"/>
          <w:szCs w:val="24"/>
        </w:rPr>
        <w:t xml:space="preserve">It represents the net FDI intake into the nation, while </w:t>
      </w:r>
      <w:r>
        <w:rPr>
          <w:rFonts w:ascii="Times New Roman" w:hAnsi="Times New Roman"/>
          <w:sz w:val="24"/>
          <w:szCs w:val="24"/>
        </w:rPr>
        <w:t>e</w:t>
      </w:r>
      <w:r w:rsidRPr="007D319A">
        <w:rPr>
          <w:rFonts w:ascii="Times New Roman" w:hAnsi="Times New Roman"/>
          <w:sz w:val="24"/>
          <w:szCs w:val="24"/>
          <w:vertAlign w:val="subscript"/>
        </w:rPr>
        <w:t>t</w:t>
      </w:r>
      <w:r w:rsidRPr="007D319A">
        <w:rPr>
          <w:rFonts w:ascii="Times New Roman" w:hAnsi="Times New Roman"/>
          <w:sz w:val="24"/>
          <w:szCs w:val="24"/>
        </w:rPr>
        <w:t xml:space="preserve"> stands for error term. The group of control variables used in the model is called X</w:t>
      </w:r>
      <w:r w:rsidRPr="007D319A">
        <w:rPr>
          <w:rFonts w:ascii="Times New Roman" w:hAnsi="Times New Roman"/>
          <w:sz w:val="24"/>
          <w:szCs w:val="24"/>
          <w:vertAlign w:val="subscript"/>
        </w:rPr>
        <w:t>t</w:t>
      </w:r>
      <w:r w:rsidRPr="007D319A">
        <w:rPr>
          <w:rFonts w:ascii="Times New Roman" w:hAnsi="Times New Roman"/>
          <w:sz w:val="24"/>
          <w:szCs w:val="24"/>
        </w:rPr>
        <w:t>. The choice of the control variables is based on the research on economic growth, and they comprise the starting GDP, domestic investment, human capital, inflation, trade</w:t>
      </w:r>
      <w:r>
        <w:rPr>
          <w:rFonts w:ascii="Times New Roman" w:hAnsi="Times New Roman"/>
          <w:sz w:val="24"/>
          <w:szCs w:val="24"/>
        </w:rPr>
        <w:t xml:space="preserve"> openness</w:t>
      </w:r>
      <w:r w:rsidRPr="007D319A">
        <w:rPr>
          <w:rFonts w:ascii="Times New Roman" w:hAnsi="Times New Roman"/>
          <w:sz w:val="24"/>
          <w:szCs w:val="24"/>
        </w:rPr>
        <w:t xml:space="preserve">, government </w:t>
      </w:r>
      <w:r>
        <w:rPr>
          <w:rFonts w:ascii="Times New Roman" w:hAnsi="Times New Roman"/>
          <w:sz w:val="24"/>
          <w:szCs w:val="24"/>
        </w:rPr>
        <w:t>debt</w:t>
      </w:r>
      <w:r w:rsidRPr="007D319A">
        <w:rPr>
          <w:rFonts w:ascii="Times New Roman" w:hAnsi="Times New Roman"/>
          <w:sz w:val="24"/>
          <w:szCs w:val="24"/>
        </w:rPr>
        <w:t>,</w:t>
      </w:r>
      <w:r>
        <w:rPr>
          <w:rFonts w:ascii="Times New Roman" w:hAnsi="Times New Roman"/>
          <w:sz w:val="24"/>
          <w:szCs w:val="24"/>
        </w:rPr>
        <w:t xml:space="preserve"> financial development indicator</w:t>
      </w:r>
      <w:r w:rsidRPr="007D319A">
        <w:rPr>
          <w:rFonts w:ascii="Times New Roman" w:hAnsi="Times New Roman"/>
          <w:sz w:val="24"/>
          <w:szCs w:val="24"/>
        </w:rPr>
        <w:t xml:space="preserve"> and population growth rate. Studies have demonstrated that the beginning level of GDP is a significant predictor of economic growth and that nations with lesser economic development tend to expand more quickly than countries with higher economic development</w:t>
      </w:r>
      <w:r>
        <w:rPr>
          <w:rFonts w:ascii="Times New Roman" w:hAnsi="Times New Roman"/>
          <w:sz w:val="24"/>
          <w:szCs w:val="24"/>
        </w:rPr>
        <w:t>.</w:t>
      </w:r>
    </w:p>
    <w:p w14:paraId="30DB0315" w14:textId="77777777" w:rsidR="007679D7" w:rsidRPr="00B757A5" w:rsidRDefault="007679D7" w:rsidP="007679D7">
      <w:pPr>
        <w:spacing w:line="360" w:lineRule="auto"/>
        <w:jc w:val="both"/>
        <w:rPr>
          <w:rFonts w:ascii="Times New Roman" w:hAnsi="Times New Roman"/>
          <w:sz w:val="24"/>
          <w:szCs w:val="24"/>
        </w:rPr>
      </w:pPr>
      <w:r w:rsidRPr="00623DAD">
        <w:rPr>
          <w:rFonts w:ascii="Times New Roman" w:hAnsi="Times New Roman"/>
          <w:sz w:val="24"/>
          <w:szCs w:val="24"/>
        </w:rPr>
        <w:lastRenderedPageBreak/>
        <w:t xml:space="preserve">Numerous studies have discovered a beneficial effect of human capital on economic growth. Gross secondary enrolment (enrollment) is used in this study as a measure of human capital. The potential benefits of openness to foreign commerce on economic growth have been well studied. </w:t>
      </w:r>
      <w:r>
        <w:rPr>
          <w:rFonts w:ascii="Times New Roman" w:hAnsi="Times New Roman"/>
          <w:sz w:val="24"/>
          <w:szCs w:val="24"/>
        </w:rPr>
        <w:t xml:space="preserve">I </w:t>
      </w:r>
      <w:r w:rsidRPr="00623DAD">
        <w:rPr>
          <w:rFonts w:ascii="Times New Roman" w:hAnsi="Times New Roman"/>
          <w:sz w:val="24"/>
          <w:szCs w:val="24"/>
        </w:rPr>
        <w:t>also use exports plus imports as a percentage of GDP as an indicator of</w:t>
      </w:r>
      <w:r>
        <w:rPr>
          <w:rFonts w:ascii="Times New Roman" w:hAnsi="Times New Roman"/>
          <w:sz w:val="24"/>
          <w:szCs w:val="24"/>
        </w:rPr>
        <w:t xml:space="preserve"> trade openness</w:t>
      </w:r>
      <w:r w:rsidRPr="00623DAD">
        <w:rPr>
          <w:rFonts w:ascii="Times New Roman" w:hAnsi="Times New Roman"/>
          <w:sz w:val="24"/>
          <w:szCs w:val="24"/>
        </w:rPr>
        <w:t xml:space="preserve"> because the majority of these research utilized trade volume as a percentage of GDP as a control variable.</w:t>
      </w:r>
      <w:r w:rsidRPr="00B757A5">
        <w:t xml:space="preserve"> </w:t>
      </w:r>
      <w:r w:rsidRPr="00B757A5">
        <w:rPr>
          <w:rFonts w:ascii="Times New Roman" w:hAnsi="Times New Roman"/>
          <w:sz w:val="24"/>
          <w:szCs w:val="24"/>
        </w:rPr>
        <w:t>Inflation has been employed in many growth studies and has been proven to slow economic growth. The quality of institutions and governance is often regarded as a key factor in economic growth, along with a number of other control factors.</w:t>
      </w:r>
    </w:p>
    <w:p w14:paraId="5D120A2E" w14:textId="77777777" w:rsidR="007679D7" w:rsidRPr="008B4E78" w:rsidRDefault="007679D7" w:rsidP="007679D7">
      <w:pPr>
        <w:spacing w:line="360" w:lineRule="auto"/>
        <w:jc w:val="both"/>
        <w:rPr>
          <w:rFonts w:ascii="Times New Roman" w:hAnsi="Times New Roman"/>
          <w:sz w:val="24"/>
          <w:szCs w:val="24"/>
        </w:rPr>
      </w:pPr>
      <w:r w:rsidRPr="008B4E78">
        <w:rPr>
          <w:rFonts w:ascii="Times New Roman" w:hAnsi="Times New Roman"/>
          <w:sz w:val="24"/>
          <w:szCs w:val="24"/>
        </w:rPr>
        <w:t>In addition to other control elements, the quality of institutions and governance is viewed as crucial to a country's</w:t>
      </w:r>
      <w:r>
        <w:rPr>
          <w:rFonts w:ascii="Times New Roman" w:hAnsi="Times New Roman"/>
          <w:sz w:val="24"/>
          <w:szCs w:val="24"/>
        </w:rPr>
        <w:t xml:space="preserve"> economic</w:t>
      </w:r>
      <w:r w:rsidRPr="008B4E78">
        <w:rPr>
          <w:rFonts w:ascii="Times New Roman" w:hAnsi="Times New Roman"/>
          <w:sz w:val="24"/>
          <w:szCs w:val="24"/>
        </w:rPr>
        <w:t xml:space="preserve"> growth. International Country Risk Guide (ICRG) governance indicators [3, 4] are extensively used in the scholarly literature. Corruption and the prevalence of violent crime are only two of the ICRG indicators used to gauge governance quality in this piece. There is a widespread belief that more people in the world will have a negative impact on the economy. The Solow growth model states that as growth rates increase, capital per worker and, by extension, capital per unit of output decrease.</w:t>
      </w:r>
    </w:p>
    <w:p w14:paraId="181D607A" w14:textId="77777777" w:rsidR="007679D7" w:rsidRPr="008B4E78" w:rsidRDefault="007679D7" w:rsidP="007679D7">
      <w:pPr>
        <w:spacing w:line="360" w:lineRule="auto"/>
        <w:jc w:val="both"/>
        <w:rPr>
          <w:rFonts w:ascii="Times New Roman" w:hAnsi="Times New Roman"/>
          <w:sz w:val="24"/>
          <w:szCs w:val="24"/>
        </w:rPr>
      </w:pPr>
      <w:r w:rsidRPr="008B4E78">
        <w:rPr>
          <w:rFonts w:ascii="Times New Roman" w:hAnsi="Times New Roman"/>
          <w:sz w:val="24"/>
          <w:szCs w:val="24"/>
        </w:rPr>
        <w:t>Several researchers have found that rising populations dampen economic growth. These researchers include Bucci (2015).Gui-Diby (2014), Jude and Levieuge (2017), and Alfaro et al. (2004)</w:t>
      </w:r>
      <w:r>
        <w:rPr>
          <w:rFonts w:ascii="Times New Roman" w:hAnsi="Times New Roman"/>
          <w:sz w:val="24"/>
          <w:szCs w:val="24"/>
        </w:rPr>
        <w:t>.</w:t>
      </w:r>
    </w:p>
    <w:p w14:paraId="3A0AF306" w14:textId="2C54FE47" w:rsidR="007679D7" w:rsidRPr="00CF4F22" w:rsidRDefault="00DD0775" w:rsidP="007679D7">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2.1. </w:t>
      </w:r>
      <w:r w:rsidR="007679D7" w:rsidRPr="00CF4F22">
        <w:rPr>
          <w:rFonts w:ascii="Times New Roman" w:hAnsi="Times New Roman"/>
          <w:b/>
          <w:bCs/>
          <w:sz w:val="24"/>
          <w:szCs w:val="24"/>
        </w:rPr>
        <w:t>Data</w:t>
      </w:r>
    </w:p>
    <w:p w14:paraId="511A0AB1" w14:textId="56E88941" w:rsidR="007679D7" w:rsidRDefault="002B5404" w:rsidP="007679D7">
      <w:pPr>
        <w:spacing w:line="360" w:lineRule="auto"/>
        <w:jc w:val="both"/>
        <w:rPr>
          <w:rFonts w:ascii="Times New Roman" w:hAnsi="Times New Roman"/>
          <w:sz w:val="24"/>
          <w:szCs w:val="24"/>
        </w:rPr>
      </w:pPr>
      <w:r>
        <w:rPr>
          <w:rFonts w:ascii="Times New Roman" w:hAnsi="Times New Roman"/>
          <w:sz w:val="24"/>
          <w:szCs w:val="24"/>
          <w:lang w:val="en-US"/>
        </w:rPr>
        <w:t>The data of variables used in this research are included from 2001 to 2021.Most of data for variables before 2001 are not available. Therefore, this periods in this current research are chosen. The variables are as follows.</w:t>
      </w:r>
      <w:r w:rsidRPr="00CF4F22">
        <w:rPr>
          <w:rFonts w:ascii="Times New Roman" w:hAnsi="Times New Roman"/>
          <w:sz w:val="24"/>
          <w:szCs w:val="24"/>
        </w:rPr>
        <w:t xml:space="preserve"> The</w:t>
      </w:r>
      <w:r w:rsidR="007679D7" w:rsidRPr="00CF4F22">
        <w:rPr>
          <w:rFonts w:ascii="Times New Roman" w:hAnsi="Times New Roman"/>
          <w:sz w:val="24"/>
          <w:szCs w:val="24"/>
        </w:rPr>
        <w:t xml:space="preserve"> ratio of net FDI inflows to GDP is known as FDI.</w:t>
      </w:r>
      <w:r w:rsidR="007679D7">
        <w:rPr>
          <w:rFonts w:ascii="Times New Roman" w:hAnsi="Times New Roman"/>
          <w:sz w:val="24"/>
          <w:szCs w:val="24"/>
        </w:rPr>
        <w:t xml:space="preserve"> </w:t>
      </w:r>
      <w:r w:rsidR="007679D7" w:rsidRPr="00CF4F22">
        <w:rPr>
          <w:rFonts w:ascii="Times New Roman" w:hAnsi="Times New Roman"/>
          <w:sz w:val="24"/>
          <w:szCs w:val="24"/>
        </w:rPr>
        <w:t>The United Nations Conference on Trade and Development (UNCTAD) Statistics are used to calculate net FDI inflows.</w:t>
      </w:r>
      <w:r w:rsidR="007679D7" w:rsidRPr="00CF4F22">
        <w:t xml:space="preserve"> </w:t>
      </w:r>
      <w:r w:rsidR="007679D7" w:rsidRPr="00CF4F22">
        <w:rPr>
          <w:rFonts w:ascii="Times New Roman" w:hAnsi="Times New Roman"/>
          <w:sz w:val="24"/>
          <w:szCs w:val="24"/>
        </w:rPr>
        <w:t>Data for variables are derived from the World Bank databank's World Development Indicators (WDI) . Table 1 has a brief summary of the variables.</w:t>
      </w:r>
    </w:p>
    <w:p w14:paraId="6F18F626" w14:textId="77777777" w:rsidR="007679D7" w:rsidRDefault="007679D7" w:rsidP="007679D7">
      <w:pPr>
        <w:spacing w:line="360" w:lineRule="auto"/>
        <w:jc w:val="both"/>
        <w:rPr>
          <w:rFonts w:ascii="Times New Roman" w:hAnsi="Times New Roman"/>
          <w:sz w:val="24"/>
          <w:szCs w:val="24"/>
        </w:rPr>
      </w:pPr>
      <w:r w:rsidRPr="00CF4F22">
        <w:rPr>
          <w:rFonts w:ascii="Times New Roman" w:hAnsi="Times New Roman"/>
          <w:sz w:val="24"/>
          <w:szCs w:val="24"/>
        </w:rPr>
        <w:t xml:space="preserve">Data on enrolment (gross secondary enrollment rate) are collected from the </w:t>
      </w:r>
      <w:r>
        <w:rPr>
          <w:rFonts w:ascii="Times New Roman" w:hAnsi="Times New Roman"/>
          <w:sz w:val="24"/>
          <w:szCs w:val="24"/>
        </w:rPr>
        <w:t>World Bank</w:t>
      </w:r>
      <w:r w:rsidRPr="00CF4F22">
        <w:rPr>
          <w:rFonts w:ascii="Times New Roman" w:hAnsi="Times New Roman"/>
          <w:sz w:val="24"/>
          <w:szCs w:val="24"/>
        </w:rPr>
        <w:t xml:space="preserve"> Institute for Statistics database's Sustainable Development Goals (SDGs) report. Similarly, statistics on corruption and </w:t>
      </w:r>
      <w:r>
        <w:rPr>
          <w:rFonts w:ascii="Times New Roman" w:hAnsi="Times New Roman"/>
          <w:sz w:val="24"/>
          <w:szCs w:val="24"/>
        </w:rPr>
        <w:t xml:space="preserve">regulation quality, government effectiveness </w:t>
      </w:r>
      <w:r w:rsidRPr="00CF4F22">
        <w:rPr>
          <w:rFonts w:ascii="Times New Roman" w:hAnsi="Times New Roman"/>
          <w:sz w:val="24"/>
          <w:szCs w:val="24"/>
        </w:rPr>
        <w:t xml:space="preserve">and </w:t>
      </w:r>
      <w:r>
        <w:rPr>
          <w:rFonts w:ascii="Times New Roman" w:hAnsi="Times New Roman"/>
          <w:sz w:val="24"/>
          <w:szCs w:val="24"/>
        </w:rPr>
        <w:t>economic stability</w:t>
      </w:r>
      <w:r w:rsidRPr="00CF4F22">
        <w:rPr>
          <w:rFonts w:ascii="Times New Roman" w:hAnsi="Times New Roman"/>
          <w:sz w:val="24"/>
          <w:szCs w:val="24"/>
        </w:rPr>
        <w:t xml:space="preserve"> are acquired from the</w:t>
      </w:r>
      <w:r>
        <w:rPr>
          <w:rFonts w:ascii="Times New Roman" w:hAnsi="Times New Roman"/>
          <w:sz w:val="24"/>
          <w:szCs w:val="24"/>
        </w:rPr>
        <w:t xml:space="preserve"> World Bank database</w:t>
      </w:r>
      <w:r w:rsidRPr="00CF4F22">
        <w:rPr>
          <w:rFonts w:ascii="Times New Roman" w:hAnsi="Times New Roman"/>
          <w:sz w:val="24"/>
          <w:szCs w:val="24"/>
        </w:rPr>
        <w:t>. The table contains detailed definitions of each variable and data source.</w:t>
      </w:r>
    </w:p>
    <w:p w14:paraId="2BA80572" w14:textId="77777777" w:rsidR="007679D7" w:rsidRDefault="007679D7" w:rsidP="007679D7">
      <w:pPr>
        <w:spacing w:line="360" w:lineRule="auto"/>
        <w:jc w:val="both"/>
        <w:rPr>
          <w:rFonts w:ascii="Times New Roman" w:hAnsi="Times New Roman"/>
          <w:sz w:val="24"/>
          <w:szCs w:val="24"/>
        </w:rPr>
      </w:pPr>
      <w:r w:rsidRPr="006534DE">
        <w:rPr>
          <w:rFonts w:ascii="Times New Roman" w:hAnsi="Times New Roman"/>
          <w:sz w:val="24"/>
          <w:szCs w:val="24"/>
        </w:rPr>
        <w:t>The table</w:t>
      </w:r>
      <w:r>
        <w:rPr>
          <w:rFonts w:ascii="Times New Roman" w:hAnsi="Times New Roman"/>
          <w:sz w:val="24"/>
          <w:szCs w:val="24"/>
        </w:rPr>
        <w:t>1</w:t>
      </w:r>
      <w:r w:rsidRPr="006534DE">
        <w:rPr>
          <w:rFonts w:ascii="Times New Roman" w:hAnsi="Times New Roman"/>
          <w:sz w:val="24"/>
          <w:szCs w:val="24"/>
        </w:rPr>
        <w:t xml:space="preserve"> displays descriptive statistics about the data utilized in the analysis. The table shows that both the rate of GDP growth and the net FDI inflow vary significantly, since the standard deviation in both cases is more than the mean values of the variables.</w:t>
      </w:r>
    </w:p>
    <w:p w14:paraId="67E5A0C8" w14:textId="77777777"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lastRenderedPageBreak/>
        <w:t xml:space="preserve">Table 1 Descriptive Statistics </w:t>
      </w:r>
    </w:p>
    <w:tbl>
      <w:tblPr>
        <w:tblW w:w="5000" w:type="pct"/>
        <w:jc w:val="center"/>
        <w:tblCellMar>
          <w:left w:w="75" w:type="dxa"/>
          <w:right w:w="75" w:type="dxa"/>
        </w:tblCellMar>
        <w:tblLook w:val="04A0" w:firstRow="1" w:lastRow="0" w:firstColumn="1" w:lastColumn="0" w:noHBand="0" w:noVBand="1"/>
      </w:tblPr>
      <w:tblGrid>
        <w:gridCol w:w="3744"/>
        <w:gridCol w:w="906"/>
        <w:gridCol w:w="1585"/>
        <w:gridCol w:w="1359"/>
        <w:gridCol w:w="1585"/>
        <w:gridCol w:w="1359"/>
      </w:tblGrid>
      <w:tr w:rsidR="007679D7" w14:paraId="30862568" w14:textId="77777777" w:rsidTr="006422B2">
        <w:trPr>
          <w:jc w:val="center"/>
        </w:trPr>
        <w:tc>
          <w:tcPr>
            <w:tcW w:w="1776" w:type="pct"/>
            <w:tcBorders>
              <w:top w:val="single" w:sz="6" w:space="0" w:color="auto"/>
              <w:left w:val="nil"/>
              <w:bottom w:val="nil"/>
              <w:right w:val="nil"/>
            </w:tcBorders>
          </w:tcPr>
          <w:p w14:paraId="6F56059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430" w:type="pct"/>
            <w:tcBorders>
              <w:top w:val="single" w:sz="6" w:space="0" w:color="auto"/>
              <w:left w:val="nil"/>
              <w:bottom w:val="nil"/>
              <w:right w:val="nil"/>
            </w:tcBorders>
            <w:hideMark/>
          </w:tcPr>
          <w:p w14:paraId="5221C2D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52" w:type="pct"/>
            <w:tcBorders>
              <w:top w:val="single" w:sz="6" w:space="0" w:color="auto"/>
              <w:left w:val="nil"/>
              <w:bottom w:val="nil"/>
              <w:right w:val="nil"/>
            </w:tcBorders>
            <w:hideMark/>
          </w:tcPr>
          <w:p w14:paraId="743C2FC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45" w:type="pct"/>
            <w:tcBorders>
              <w:top w:val="single" w:sz="6" w:space="0" w:color="auto"/>
              <w:left w:val="nil"/>
              <w:bottom w:val="nil"/>
              <w:right w:val="nil"/>
            </w:tcBorders>
            <w:hideMark/>
          </w:tcPr>
          <w:p w14:paraId="4401F3A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52" w:type="pct"/>
            <w:tcBorders>
              <w:top w:val="single" w:sz="6" w:space="0" w:color="auto"/>
              <w:left w:val="nil"/>
              <w:bottom w:val="nil"/>
              <w:right w:val="nil"/>
            </w:tcBorders>
            <w:hideMark/>
          </w:tcPr>
          <w:p w14:paraId="19ED525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645" w:type="pct"/>
            <w:tcBorders>
              <w:top w:val="single" w:sz="6" w:space="0" w:color="auto"/>
              <w:left w:val="nil"/>
              <w:bottom w:val="nil"/>
              <w:right w:val="nil"/>
            </w:tcBorders>
            <w:hideMark/>
          </w:tcPr>
          <w:p w14:paraId="407DADE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679D7" w14:paraId="0B92AF2A" w14:textId="77777777" w:rsidTr="006422B2">
        <w:trPr>
          <w:jc w:val="center"/>
        </w:trPr>
        <w:tc>
          <w:tcPr>
            <w:tcW w:w="1776" w:type="pct"/>
            <w:tcBorders>
              <w:top w:val="nil"/>
              <w:left w:val="nil"/>
              <w:bottom w:val="single" w:sz="6" w:space="0" w:color="auto"/>
              <w:right w:val="nil"/>
            </w:tcBorders>
            <w:hideMark/>
          </w:tcPr>
          <w:p w14:paraId="2555C520"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VARIABLES</w:t>
            </w:r>
          </w:p>
        </w:tc>
        <w:tc>
          <w:tcPr>
            <w:tcW w:w="430" w:type="pct"/>
            <w:tcBorders>
              <w:top w:val="nil"/>
              <w:left w:val="nil"/>
              <w:bottom w:val="single" w:sz="6" w:space="0" w:color="auto"/>
              <w:right w:val="nil"/>
            </w:tcBorders>
            <w:hideMark/>
          </w:tcPr>
          <w:p w14:paraId="667814E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w:t>
            </w:r>
          </w:p>
        </w:tc>
        <w:tc>
          <w:tcPr>
            <w:tcW w:w="752" w:type="pct"/>
            <w:tcBorders>
              <w:top w:val="nil"/>
              <w:left w:val="nil"/>
              <w:bottom w:val="single" w:sz="6" w:space="0" w:color="auto"/>
              <w:right w:val="nil"/>
            </w:tcBorders>
            <w:hideMark/>
          </w:tcPr>
          <w:p w14:paraId="27C67ED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mean</w:t>
            </w:r>
          </w:p>
        </w:tc>
        <w:tc>
          <w:tcPr>
            <w:tcW w:w="645" w:type="pct"/>
            <w:tcBorders>
              <w:top w:val="nil"/>
              <w:left w:val="nil"/>
              <w:bottom w:val="single" w:sz="6" w:space="0" w:color="auto"/>
              <w:right w:val="nil"/>
            </w:tcBorders>
            <w:hideMark/>
          </w:tcPr>
          <w:p w14:paraId="04FCDC4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sd</w:t>
            </w:r>
          </w:p>
        </w:tc>
        <w:tc>
          <w:tcPr>
            <w:tcW w:w="752" w:type="pct"/>
            <w:tcBorders>
              <w:top w:val="nil"/>
              <w:left w:val="nil"/>
              <w:bottom w:val="single" w:sz="6" w:space="0" w:color="auto"/>
              <w:right w:val="nil"/>
            </w:tcBorders>
            <w:hideMark/>
          </w:tcPr>
          <w:p w14:paraId="739BE91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min</w:t>
            </w:r>
          </w:p>
        </w:tc>
        <w:tc>
          <w:tcPr>
            <w:tcW w:w="645" w:type="pct"/>
            <w:tcBorders>
              <w:top w:val="nil"/>
              <w:left w:val="nil"/>
              <w:bottom w:val="single" w:sz="6" w:space="0" w:color="auto"/>
              <w:right w:val="nil"/>
            </w:tcBorders>
            <w:hideMark/>
          </w:tcPr>
          <w:p w14:paraId="3F49C18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max</w:t>
            </w:r>
          </w:p>
        </w:tc>
      </w:tr>
      <w:tr w:rsidR="007679D7" w14:paraId="4BB46A60" w14:textId="77777777" w:rsidTr="006422B2">
        <w:trPr>
          <w:jc w:val="center"/>
        </w:trPr>
        <w:tc>
          <w:tcPr>
            <w:tcW w:w="1776" w:type="pct"/>
          </w:tcPr>
          <w:p w14:paraId="1556A48B"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430" w:type="pct"/>
          </w:tcPr>
          <w:p w14:paraId="37F32A8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752" w:type="pct"/>
          </w:tcPr>
          <w:p w14:paraId="06B2980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645" w:type="pct"/>
          </w:tcPr>
          <w:p w14:paraId="0C7F972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752" w:type="pct"/>
          </w:tcPr>
          <w:p w14:paraId="15D716C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645" w:type="pct"/>
          </w:tcPr>
          <w:p w14:paraId="7792899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6223CEF" w14:textId="77777777" w:rsidTr="006422B2">
        <w:trPr>
          <w:jc w:val="center"/>
        </w:trPr>
        <w:tc>
          <w:tcPr>
            <w:tcW w:w="1776" w:type="pct"/>
            <w:hideMark/>
          </w:tcPr>
          <w:p w14:paraId="6361B186"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debtq</w:t>
            </w:r>
          </w:p>
        </w:tc>
        <w:tc>
          <w:tcPr>
            <w:tcW w:w="430" w:type="pct"/>
            <w:hideMark/>
          </w:tcPr>
          <w:p w14:paraId="35E45AE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148098C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37.66</w:t>
            </w:r>
          </w:p>
        </w:tc>
        <w:tc>
          <w:tcPr>
            <w:tcW w:w="645" w:type="pct"/>
            <w:hideMark/>
          </w:tcPr>
          <w:p w14:paraId="2472C97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12.37</w:t>
            </w:r>
          </w:p>
        </w:tc>
        <w:tc>
          <w:tcPr>
            <w:tcW w:w="752" w:type="pct"/>
            <w:hideMark/>
          </w:tcPr>
          <w:p w14:paraId="62A8922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18.93</w:t>
            </w:r>
          </w:p>
        </w:tc>
        <w:tc>
          <w:tcPr>
            <w:tcW w:w="645" w:type="pct"/>
            <w:hideMark/>
          </w:tcPr>
          <w:p w14:paraId="77FBE8E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67.50</w:t>
            </w:r>
          </w:p>
        </w:tc>
      </w:tr>
      <w:tr w:rsidR="007679D7" w14:paraId="3DAEF685" w14:textId="77777777" w:rsidTr="006422B2">
        <w:trPr>
          <w:jc w:val="center"/>
        </w:trPr>
        <w:tc>
          <w:tcPr>
            <w:tcW w:w="1776" w:type="pct"/>
            <w:hideMark/>
          </w:tcPr>
          <w:p w14:paraId="3A886907"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fdigrwq</w:t>
            </w:r>
          </w:p>
        </w:tc>
        <w:tc>
          <w:tcPr>
            <w:tcW w:w="430" w:type="pct"/>
            <w:hideMark/>
          </w:tcPr>
          <w:p w14:paraId="1E3200F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7F5BF23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8.729</w:t>
            </w:r>
          </w:p>
        </w:tc>
        <w:tc>
          <w:tcPr>
            <w:tcW w:w="645" w:type="pct"/>
            <w:hideMark/>
          </w:tcPr>
          <w:p w14:paraId="0569580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3.797</w:t>
            </w:r>
          </w:p>
        </w:tc>
        <w:tc>
          <w:tcPr>
            <w:tcW w:w="752" w:type="pct"/>
            <w:hideMark/>
          </w:tcPr>
          <w:p w14:paraId="3562787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3.172</w:t>
            </w:r>
          </w:p>
        </w:tc>
        <w:tc>
          <w:tcPr>
            <w:tcW w:w="645" w:type="pct"/>
            <w:hideMark/>
          </w:tcPr>
          <w:p w14:paraId="1DB4D72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19.06</w:t>
            </w:r>
          </w:p>
        </w:tc>
      </w:tr>
      <w:tr w:rsidR="007679D7" w14:paraId="2769BB49" w14:textId="77777777" w:rsidTr="006422B2">
        <w:trPr>
          <w:jc w:val="center"/>
        </w:trPr>
        <w:tc>
          <w:tcPr>
            <w:tcW w:w="1776" w:type="pct"/>
            <w:hideMark/>
          </w:tcPr>
          <w:p w14:paraId="7C340FC0"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gdppercapq</w:t>
            </w:r>
          </w:p>
        </w:tc>
        <w:tc>
          <w:tcPr>
            <w:tcW w:w="430" w:type="pct"/>
            <w:hideMark/>
          </w:tcPr>
          <w:p w14:paraId="744D24D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4E8C5D0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5.713</w:t>
            </w:r>
          </w:p>
        </w:tc>
        <w:tc>
          <w:tcPr>
            <w:tcW w:w="645" w:type="pct"/>
            <w:hideMark/>
          </w:tcPr>
          <w:p w14:paraId="79DA6DB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5.066</w:t>
            </w:r>
          </w:p>
        </w:tc>
        <w:tc>
          <w:tcPr>
            <w:tcW w:w="752" w:type="pct"/>
            <w:hideMark/>
          </w:tcPr>
          <w:p w14:paraId="4BAF4BC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-8.110</w:t>
            </w:r>
          </w:p>
        </w:tc>
        <w:tc>
          <w:tcPr>
            <w:tcW w:w="645" w:type="pct"/>
            <w:hideMark/>
          </w:tcPr>
          <w:p w14:paraId="1EFB3D4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24.02</w:t>
            </w:r>
          </w:p>
        </w:tc>
      </w:tr>
      <w:tr w:rsidR="007679D7" w14:paraId="4E13776E" w14:textId="77777777" w:rsidTr="006422B2">
        <w:trPr>
          <w:jc w:val="center"/>
        </w:trPr>
        <w:tc>
          <w:tcPr>
            <w:tcW w:w="1776" w:type="pct"/>
            <w:hideMark/>
          </w:tcPr>
          <w:p w14:paraId="1E429CBD"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gdpq</w:t>
            </w:r>
          </w:p>
        </w:tc>
        <w:tc>
          <w:tcPr>
            <w:tcW w:w="430" w:type="pct"/>
            <w:hideMark/>
          </w:tcPr>
          <w:p w14:paraId="7C83C17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65A2FFD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5.232</w:t>
            </w:r>
          </w:p>
        </w:tc>
        <w:tc>
          <w:tcPr>
            <w:tcW w:w="645" w:type="pct"/>
            <w:hideMark/>
          </w:tcPr>
          <w:p w14:paraId="393F0D0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4.905</w:t>
            </w:r>
          </w:p>
        </w:tc>
        <w:tc>
          <w:tcPr>
            <w:tcW w:w="752" w:type="pct"/>
            <w:hideMark/>
          </w:tcPr>
          <w:p w14:paraId="42E327B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-8.008</w:t>
            </w:r>
          </w:p>
        </w:tc>
        <w:tc>
          <w:tcPr>
            <w:tcW w:w="645" w:type="pct"/>
            <w:hideMark/>
          </w:tcPr>
          <w:p w14:paraId="1F77B2C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23.26</w:t>
            </w:r>
          </w:p>
        </w:tc>
      </w:tr>
      <w:tr w:rsidR="007679D7" w14:paraId="0070C44D" w14:textId="77777777" w:rsidTr="006422B2">
        <w:trPr>
          <w:jc w:val="center"/>
        </w:trPr>
        <w:tc>
          <w:tcPr>
            <w:tcW w:w="1776" w:type="pct"/>
            <w:hideMark/>
          </w:tcPr>
          <w:p w14:paraId="5BD994B2"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humancapq</w:t>
            </w:r>
          </w:p>
        </w:tc>
        <w:tc>
          <w:tcPr>
            <w:tcW w:w="430" w:type="pct"/>
            <w:hideMark/>
          </w:tcPr>
          <w:p w14:paraId="452A536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03CF192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47.22</w:t>
            </w:r>
          </w:p>
        </w:tc>
        <w:tc>
          <w:tcPr>
            <w:tcW w:w="645" w:type="pct"/>
            <w:hideMark/>
          </w:tcPr>
          <w:p w14:paraId="3B04822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2.057</w:t>
            </w:r>
          </w:p>
        </w:tc>
        <w:tc>
          <w:tcPr>
            <w:tcW w:w="752" w:type="pct"/>
            <w:hideMark/>
          </w:tcPr>
          <w:p w14:paraId="3701C04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45.12</w:t>
            </w:r>
          </w:p>
        </w:tc>
        <w:tc>
          <w:tcPr>
            <w:tcW w:w="645" w:type="pct"/>
            <w:hideMark/>
          </w:tcPr>
          <w:p w14:paraId="593925E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51.43</w:t>
            </w:r>
          </w:p>
        </w:tc>
      </w:tr>
      <w:tr w:rsidR="007679D7" w14:paraId="1B7B3CCA" w14:textId="77777777" w:rsidTr="006422B2">
        <w:trPr>
          <w:jc w:val="center"/>
        </w:trPr>
        <w:tc>
          <w:tcPr>
            <w:tcW w:w="1776" w:type="pct"/>
            <w:hideMark/>
          </w:tcPr>
          <w:p w14:paraId="0127713A"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infq</w:t>
            </w:r>
          </w:p>
        </w:tc>
        <w:tc>
          <w:tcPr>
            <w:tcW w:w="430" w:type="pct"/>
            <w:hideMark/>
          </w:tcPr>
          <w:p w14:paraId="612F7AD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758854F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6.164</w:t>
            </w:r>
          </w:p>
        </w:tc>
        <w:tc>
          <w:tcPr>
            <w:tcW w:w="645" w:type="pct"/>
            <w:hideMark/>
          </w:tcPr>
          <w:p w14:paraId="0A317F6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3.799</w:t>
            </w:r>
          </w:p>
        </w:tc>
        <w:tc>
          <w:tcPr>
            <w:tcW w:w="752" w:type="pct"/>
            <w:hideMark/>
          </w:tcPr>
          <w:p w14:paraId="27F2227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-3.300</w:t>
            </w:r>
          </w:p>
        </w:tc>
        <w:tc>
          <w:tcPr>
            <w:tcW w:w="645" w:type="pct"/>
            <w:hideMark/>
          </w:tcPr>
          <w:p w14:paraId="0F21B72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15.55</w:t>
            </w:r>
          </w:p>
        </w:tc>
      </w:tr>
      <w:tr w:rsidR="007679D7" w14:paraId="39B3E51A" w14:textId="77777777" w:rsidTr="006422B2">
        <w:trPr>
          <w:jc w:val="center"/>
        </w:trPr>
        <w:tc>
          <w:tcPr>
            <w:tcW w:w="1776" w:type="pct"/>
            <w:hideMark/>
          </w:tcPr>
          <w:p w14:paraId="61D7D60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insindexq</w:t>
            </w:r>
          </w:p>
        </w:tc>
        <w:tc>
          <w:tcPr>
            <w:tcW w:w="430" w:type="pct"/>
            <w:hideMark/>
          </w:tcPr>
          <w:p w14:paraId="303A3FF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45B5429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55.33</w:t>
            </w:r>
          </w:p>
        </w:tc>
        <w:tc>
          <w:tcPr>
            <w:tcW w:w="645" w:type="pct"/>
            <w:hideMark/>
          </w:tcPr>
          <w:p w14:paraId="55C7B25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9.914</w:t>
            </w:r>
          </w:p>
        </w:tc>
        <w:tc>
          <w:tcPr>
            <w:tcW w:w="752" w:type="pct"/>
            <w:hideMark/>
          </w:tcPr>
          <w:p w14:paraId="691131C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34.22</w:t>
            </w:r>
          </w:p>
        </w:tc>
        <w:tc>
          <w:tcPr>
            <w:tcW w:w="645" w:type="pct"/>
            <w:hideMark/>
          </w:tcPr>
          <w:p w14:paraId="53B09E4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65.77</w:t>
            </w:r>
          </w:p>
        </w:tc>
      </w:tr>
      <w:tr w:rsidR="007679D7" w14:paraId="24043BEA" w14:textId="77777777" w:rsidTr="006422B2">
        <w:trPr>
          <w:jc w:val="center"/>
        </w:trPr>
        <w:tc>
          <w:tcPr>
            <w:tcW w:w="1776" w:type="pct"/>
            <w:hideMark/>
          </w:tcPr>
          <w:p w14:paraId="4568E6D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popq</w:t>
            </w:r>
          </w:p>
        </w:tc>
        <w:tc>
          <w:tcPr>
            <w:tcW w:w="430" w:type="pct"/>
            <w:hideMark/>
          </w:tcPr>
          <w:p w14:paraId="646CC27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3B6DFCF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-0.451</w:t>
            </w:r>
          </w:p>
        </w:tc>
        <w:tc>
          <w:tcPr>
            <w:tcW w:w="645" w:type="pct"/>
            <w:hideMark/>
          </w:tcPr>
          <w:p w14:paraId="058E7B7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0.430</w:t>
            </w:r>
          </w:p>
        </w:tc>
        <w:tc>
          <w:tcPr>
            <w:tcW w:w="752" w:type="pct"/>
            <w:hideMark/>
          </w:tcPr>
          <w:p w14:paraId="4623D8C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-1.891</w:t>
            </w:r>
          </w:p>
        </w:tc>
        <w:tc>
          <w:tcPr>
            <w:tcW w:w="645" w:type="pct"/>
            <w:hideMark/>
          </w:tcPr>
          <w:p w14:paraId="6841165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0.165</w:t>
            </w:r>
          </w:p>
        </w:tc>
      </w:tr>
      <w:tr w:rsidR="007679D7" w14:paraId="288C414E" w14:textId="77777777" w:rsidTr="006422B2">
        <w:trPr>
          <w:jc w:val="center"/>
        </w:trPr>
        <w:tc>
          <w:tcPr>
            <w:tcW w:w="1776" w:type="pct"/>
            <w:hideMark/>
          </w:tcPr>
          <w:p w14:paraId="517B4E1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povertyq</w:t>
            </w:r>
          </w:p>
        </w:tc>
        <w:tc>
          <w:tcPr>
            <w:tcW w:w="430" w:type="pct"/>
            <w:hideMark/>
          </w:tcPr>
          <w:p w14:paraId="026F5FD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05BB5C6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29.44</w:t>
            </w:r>
          </w:p>
        </w:tc>
        <w:tc>
          <w:tcPr>
            <w:tcW w:w="645" w:type="pct"/>
            <w:hideMark/>
          </w:tcPr>
          <w:p w14:paraId="7FD5550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8.902</w:t>
            </w:r>
          </w:p>
        </w:tc>
        <w:tc>
          <w:tcPr>
            <w:tcW w:w="752" w:type="pct"/>
            <w:hideMark/>
          </w:tcPr>
          <w:p w14:paraId="362AF9E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17.10</w:t>
            </w:r>
          </w:p>
        </w:tc>
        <w:tc>
          <w:tcPr>
            <w:tcW w:w="645" w:type="pct"/>
            <w:hideMark/>
          </w:tcPr>
          <w:p w14:paraId="29C292F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62.52</w:t>
            </w:r>
          </w:p>
        </w:tc>
      </w:tr>
      <w:tr w:rsidR="007679D7" w14:paraId="3661A638" w14:textId="77777777" w:rsidTr="006422B2">
        <w:trPr>
          <w:jc w:val="center"/>
        </w:trPr>
        <w:tc>
          <w:tcPr>
            <w:tcW w:w="1776" w:type="pct"/>
            <w:hideMark/>
          </w:tcPr>
          <w:p w14:paraId="27B21CB0"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privasectorindq</w:t>
            </w:r>
          </w:p>
        </w:tc>
        <w:tc>
          <w:tcPr>
            <w:tcW w:w="430" w:type="pct"/>
            <w:hideMark/>
          </w:tcPr>
          <w:p w14:paraId="77034D1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54B29F8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44.41</w:t>
            </w:r>
          </w:p>
        </w:tc>
        <w:tc>
          <w:tcPr>
            <w:tcW w:w="645" w:type="pct"/>
            <w:hideMark/>
          </w:tcPr>
          <w:p w14:paraId="639E4B2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3.482</w:t>
            </w:r>
          </w:p>
        </w:tc>
        <w:tc>
          <w:tcPr>
            <w:tcW w:w="752" w:type="pct"/>
            <w:hideMark/>
          </w:tcPr>
          <w:p w14:paraId="4AB67DA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37.92</w:t>
            </w:r>
          </w:p>
        </w:tc>
        <w:tc>
          <w:tcPr>
            <w:tcW w:w="645" w:type="pct"/>
            <w:hideMark/>
          </w:tcPr>
          <w:p w14:paraId="55FF18A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49.90</w:t>
            </w:r>
          </w:p>
        </w:tc>
      </w:tr>
      <w:tr w:rsidR="007679D7" w14:paraId="29366B00" w14:textId="77777777" w:rsidTr="006422B2">
        <w:trPr>
          <w:jc w:val="center"/>
        </w:trPr>
        <w:tc>
          <w:tcPr>
            <w:tcW w:w="1776" w:type="pct"/>
            <w:hideMark/>
          </w:tcPr>
          <w:p w14:paraId="5B328D3B"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tradeopenq</w:t>
            </w:r>
          </w:p>
        </w:tc>
        <w:tc>
          <w:tcPr>
            <w:tcW w:w="430" w:type="pct"/>
            <w:hideMark/>
          </w:tcPr>
          <w:p w14:paraId="3D60F6F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4BEE1B3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12.17</w:t>
            </w:r>
          </w:p>
        </w:tc>
        <w:tc>
          <w:tcPr>
            <w:tcW w:w="645" w:type="pct"/>
            <w:hideMark/>
          </w:tcPr>
          <w:p w14:paraId="0898135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5.289</w:t>
            </w:r>
          </w:p>
        </w:tc>
        <w:tc>
          <w:tcPr>
            <w:tcW w:w="752" w:type="pct"/>
            <w:hideMark/>
          </w:tcPr>
          <w:p w14:paraId="4D2B713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4.600</w:t>
            </w:r>
          </w:p>
        </w:tc>
        <w:tc>
          <w:tcPr>
            <w:tcW w:w="645" w:type="pct"/>
            <w:hideMark/>
          </w:tcPr>
          <w:p w14:paraId="16A3E93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27.74</w:t>
            </w:r>
          </w:p>
        </w:tc>
      </w:tr>
      <w:tr w:rsidR="007679D7" w14:paraId="7BD4D89A" w14:textId="77777777" w:rsidTr="006422B2">
        <w:trPr>
          <w:jc w:val="center"/>
        </w:trPr>
        <w:tc>
          <w:tcPr>
            <w:tcW w:w="1776" w:type="pct"/>
            <w:hideMark/>
          </w:tcPr>
          <w:p w14:paraId="27B3A330"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unempq</w:t>
            </w:r>
          </w:p>
        </w:tc>
        <w:tc>
          <w:tcPr>
            <w:tcW w:w="430" w:type="pct"/>
            <w:hideMark/>
          </w:tcPr>
          <w:p w14:paraId="3188272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752" w:type="pct"/>
            <w:hideMark/>
          </w:tcPr>
          <w:p w14:paraId="4F52DE4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15.18</w:t>
            </w:r>
          </w:p>
        </w:tc>
        <w:tc>
          <w:tcPr>
            <w:tcW w:w="645" w:type="pct"/>
            <w:hideMark/>
          </w:tcPr>
          <w:p w14:paraId="3926453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3.296</w:t>
            </w:r>
          </w:p>
        </w:tc>
        <w:tc>
          <w:tcPr>
            <w:tcW w:w="752" w:type="pct"/>
            <w:hideMark/>
          </w:tcPr>
          <w:p w14:paraId="0C39959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10.07</w:t>
            </w:r>
          </w:p>
        </w:tc>
        <w:tc>
          <w:tcPr>
            <w:tcW w:w="645" w:type="pct"/>
            <w:hideMark/>
          </w:tcPr>
          <w:p w14:paraId="182C701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21.04</w:t>
            </w:r>
          </w:p>
        </w:tc>
      </w:tr>
      <w:tr w:rsidR="007679D7" w14:paraId="598CB3F0" w14:textId="77777777" w:rsidTr="006422B2">
        <w:trPr>
          <w:jc w:val="center"/>
        </w:trPr>
        <w:tc>
          <w:tcPr>
            <w:tcW w:w="1776" w:type="pct"/>
            <w:tcBorders>
              <w:top w:val="nil"/>
              <w:left w:val="nil"/>
              <w:bottom w:val="single" w:sz="6" w:space="0" w:color="auto"/>
              <w:right w:val="nil"/>
            </w:tcBorders>
          </w:tcPr>
          <w:p w14:paraId="2F86794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430" w:type="pct"/>
            <w:tcBorders>
              <w:top w:val="nil"/>
              <w:left w:val="nil"/>
              <w:bottom w:val="single" w:sz="6" w:space="0" w:color="auto"/>
              <w:right w:val="nil"/>
            </w:tcBorders>
          </w:tcPr>
          <w:p w14:paraId="54E7002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752" w:type="pct"/>
            <w:tcBorders>
              <w:top w:val="nil"/>
              <w:left w:val="nil"/>
              <w:bottom w:val="single" w:sz="6" w:space="0" w:color="auto"/>
              <w:right w:val="nil"/>
            </w:tcBorders>
          </w:tcPr>
          <w:p w14:paraId="3CFD482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645" w:type="pct"/>
            <w:tcBorders>
              <w:top w:val="nil"/>
              <w:left w:val="nil"/>
              <w:bottom w:val="single" w:sz="6" w:space="0" w:color="auto"/>
              <w:right w:val="nil"/>
            </w:tcBorders>
          </w:tcPr>
          <w:p w14:paraId="5BC51F2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752" w:type="pct"/>
            <w:tcBorders>
              <w:top w:val="nil"/>
              <w:left w:val="nil"/>
              <w:bottom w:val="single" w:sz="6" w:space="0" w:color="auto"/>
              <w:right w:val="nil"/>
            </w:tcBorders>
          </w:tcPr>
          <w:p w14:paraId="344852F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645" w:type="pct"/>
            <w:tcBorders>
              <w:top w:val="nil"/>
              <w:left w:val="nil"/>
              <w:bottom w:val="single" w:sz="6" w:space="0" w:color="auto"/>
              <w:right w:val="nil"/>
            </w:tcBorders>
          </w:tcPr>
          <w:p w14:paraId="55A2972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bl>
    <w:p w14:paraId="05DFEE0F" w14:textId="77777777" w:rsidR="007679D7" w:rsidRPr="008B4E78" w:rsidRDefault="007679D7" w:rsidP="007679D7">
      <w:pPr>
        <w:spacing w:line="360" w:lineRule="auto"/>
        <w:jc w:val="both"/>
        <w:rPr>
          <w:rFonts w:ascii="Times New Roman" w:hAnsi="Times New Roman"/>
          <w:sz w:val="24"/>
          <w:szCs w:val="24"/>
        </w:rPr>
      </w:pPr>
    </w:p>
    <w:p w14:paraId="7ABC7031" w14:textId="77777777" w:rsidR="007679D7" w:rsidRDefault="007679D7" w:rsidP="007679D7">
      <w:pPr>
        <w:spacing w:line="360" w:lineRule="auto"/>
        <w:jc w:val="both"/>
        <w:rPr>
          <w:rFonts w:ascii="Times New Roman" w:hAnsi="Times New Roman"/>
          <w:sz w:val="24"/>
          <w:szCs w:val="24"/>
        </w:rPr>
      </w:pPr>
      <w:r w:rsidRPr="00534E72">
        <w:rPr>
          <w:rFonts w:ascii="Times New Roman" w:hAnsi="Times New Roman"/>
          <w:sz w:val="24"/>
          <w:szCs w:val="24"/>
        </w:rPr>
        <w:t>Based on the data</w:t>
      </w:r>
      <w:r>
        <w:rPr>
          <w:rFonts w:ascii="Times New Roman" w:hAnsi="Times New Roman"/>
          <w:sz w:val="24"/>
          <w:szCs w:val="24"/>
        </w:rPr>
        <w:t xml:space="preserve"> descriptive in table 1</w:t>
      </w:r>
      <w:r w:rsidRPr="00534E72">
        <w:rPr>
          <w:rFonts w:ascii="Times New Roman" w:hAnsi="Times New Roman"/>
          <w:sz w:val="24"/>
          <w:szCs w:val="24"/>
        </w:rPr>
        <w:t xml:space="preserve"> discovered for the sample of the consideration, the FD</w:t>
      </w:r>
      <w:r>
        <w:rPr>
          <w:rFonts w:ascii="Times New Roman" w:hAnsi="Times New Roman"/>
          <w:sz w:val="24"/>
          <w:szCs w:val="24"/>
        </w:rPr>
        <w:t>I</w:t>
      </w:r>
      <w:r w:rsidRPr="00534E72">
        <w:rPr>
          <w:rFonts w:ascii="Times New Roman" w:hAnsi="Times New Roman"/>
          <w:sz w:val="24"/>
          <w:szCs w:val="24"/>
        </w:rPr>
        <w:t xml:space="preserve"> </w:t>
      </w:r>
      <w:r>
        <w:rPr>
          <w:rFonts w:ascii="Times New Roman" w:hAnsi="Times New Roman"/>
          <w:sz w:val="24"/>
          <w:szCs w:val="24"/>
        </w:rPr>
        <w:t>as GDP</w:t>
      </w:r>
      <w:r w:rsidRPr="00534E72">
        <w:rPr>
          <w:rFonts w:ascii="Times New Roman" w:hAnsi="Times New Roman"/>
          <w:sz w:val="24"/>
          <w:szCs w:val="24"/>
        </w:rPr>
        <w:t xml:space="preserve">'s mean value is </w:t>
      </w:r>
      <w:r>
        <w:rPr>
          <w:rFonts w:ascii="Times New Roman" w:hAnsi="Times New Roman"/>
          <w:sz w:val="24"/>
          <w:szCs w:val="24"/>
        </w:rPr>
        <w:t>8.7 percent</w:t>
      </w:r>
      <w:r w:rsidRPr="00534E72">
        <w:rPr>
          <w:rFonts w:ascii="Times New Roman" w:hAnsi="Times New Roman"/>
          <w:sz w:val="24"/>
          <w:szCs w:val="24"/>
        </w:rPr>
        <w:t xml:space="preserve">. From 2001 to 2020, FDI net inflows as a proportion of GDP have been on average </w:t>
      </w:r>
      <w:r>
        <w:rPr>
          <w:rFonts w:ascii="Times New Roman" w:hAnsi="Times New Roman"/>
          <w:sz w:val="24"/>
          <w:szCs w:val="24"/>
        </w:rPr>
        <w:t>8</w:t>
      </w:r>
      <w:r w:rsidRPr="00534E72">
        <w:rPr>
          <w:rFonts w:ascii="Times New Roman" w:hAnsi="Times New Roman"/>
          <w:sz w:val="24"/>
          <w:szCs w:val="24"/>
        </w:rPr>
        <w:t xml:space="preserve">.2%. In terms of FDI net inflows as a percentage of GDP. In addition, the average government </w:t>
      </w:r>
      <w:r>
        <w:rPr>
          <w:rFonts w:ascii="Times New Roman" w:hAnsi="Times New Roman"/>
          <w:sz w:val="24"/>
          <w:szCs w:val="24"/>
        </w:rPr>
        <w:t xml:space="preserve">debt </w:t>
      </w:r>
      <w:r w:rsidRPr="00534E72">
        <w:rPr>
          <w:rFonts w:ascii="Times New Roman" w:hAnsi="Times New Roman"/>
          <w:sz w:val="24"/>
          <w:szCs w:val="24"/>
        </w:rPr>
        <w:t xml:space="preserve">as a proportion of GDP is </w:t>
      </w:r>
      <w:r>
        <w:rPr>
          <w:rFonts w:ascii="Times New Roman" w:hAnsi="Times New Roman"/>
          <w:sz w:val="24"/>
          <w:szCs w:val="24"/>
        </w:rPr>
        <w:t xml:space="preserve">37 </w:t>
      </w:r>
      <w:r w:rsidRPr="00534E72">
        <w:rPr>
          <w:rFonts w:ascii="Times New Roman" w:hAnsi="Times New Roman"/>
          <w:sz w:val="24"/>
          <w:szCs w:val="24"/>
        </w:rPr>
        <w:t>%, the average inflation rate is 6.1</w:t>
      </w:r>
      <w:r>
        <w:rPr>
          <w:rFonts w:ascii="Times New Roman" w:hAnsi="Times New Roman"/>
          <w:sz w:val="24"/>
          <w:szCs w:val="24"/>
        </w:rPr>
        <w:t>6</w:t>
      </w:r>
      <w:r w:rsidRPr="00534E72">
        <w:rPr>
          <w:rFonts w:ascii="Times New Roman" w:hAnsi="Times New Roman"/>
          <w:sz w:val="24"/>
          <w:szCs w:val="24"/>
        </w:rPr>
        <w:t xml:space="preserve">%, and the average population growth rate is </w:t>
      </w:r>
      <w:r>
        <w:rPr>
          <w:rFonts w:ascii="Times New Roman" w:hAnsi="Times New Roman"/>
          <w:sz w:val="24"/>
          <w:szCs w:val="24"/>
        </w:rPr>
        <w:t>-0.45 percent</w:t>
      </w:r>
      <w:r w:rsidRPr="00534E72">
        <w:rPr>
          <w:rFonts w:ascii="Times New Roman" w:hAnsi="Times New Roman"/>
          <w:sz w:val="24"/>
          <w:szCs w:val="24"/>
        </w:rPr>
        <w:t>.</w:t>
      </w:r>
      <w:r>
        <w:rPr>
          <w:rFonts w:ascii="Times New Roman" w:hAnsi="Times New Roman"/>
          <w:sz w:val="24"/>
          <w:szCs w:val="24"/>
        </w:rPr>
        <w:t xml:space="preserve"> Correlation matrix doesn’t illustrative any strong correlation between variables used in the research (see table 2).</w:t>
      </w:r>
    </w:p>
    <w:p w14:paraId="3AA21050" w14:textId="77777777" w:rsidR="00CB3A1B" w:rsidRPr="00A55B6E" w:rsidRDefault="00CB3A1B" w:rsidP="00CB3A1B">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3. </w:t>
      </w:r>
      <w:r w:rsidRPr="00A55B6E">
        <w:rPr>
          <w:rFonts w:ascii="Times New Roman" w:hAnsi="Times New Roman"/>
          <w:b/>
          <w:bCs/>
          <w:sz w:val="24"/>
          <w:szCs w:val="24"/>
        </w:rPr>
        <w:t>Result of Analyzing</w:t>
      </w:r>
    </w:p>
    <w:p w14:paraId="765895D1" w14:textId="27376E5C" w:rsidR="00CB3A1B" w:rsidRDefault="00CB3A1B" w:rsidP="00CB3A1B">
      <w:pPr>
        <w:spacing w:line="360" w:lineRule="auto"/>
        <w:jc w:val="both"/>
        <w:rPr>
          <w:rFonts w:ascii="Times New Roman" w:hAnsi="Times New Roman"/>
          <w:sz w:val="24"/>
          <w:szCs w:val="24"/>
        </w:rPr>
      </w:pPr>
      <w:r w:rsidRPr="00944B54">
        <w:rPr>
          <w:rFonts w:ascii="Times New Roman" w:hAnsi="Times New Roman"/>
          <w:sz w:val="24"/>
          <w:szCs w:val="24"/>
        </w:rPr>
        <w:t>Table</w:t>
      </w:r>
      <w:r>
        <w:rPr>
          <w:rFonts w:ascii="Times New Roman" w:hAnsi="Times New Roman"/>
          <w:sz w:val="24"/>
          <w:szCs w:val="24"/>
          <w:lang w:val="en-US"/>
        </w:rPr>
        <w:t xml:space="preserve"> 3</w:t>
      </w:r>
      <w:r w:rsidRPr="00944B54">
        <w:rPr>
          <w:rFonts w:ascii="Times New Roman" w:hAnsi="Times New Roman"/>
          <w:sz w:val="24"/>
          <w:szCs w:val="24"/>
        </w:rPr>
        <w:t xml:space="preserve"> </w:t>
      </w:r>
      <w:r>
        <w:rPr>
          <w:rFonts w:ascii="Times New Roman" w:hAnsi="Times New Roman"/>
          <w:sz w:val="24"/>
          <w:szCs w:val="24"/>
        </w:rPr>
        <w:t xml:space="preserve">OLS result </w:t>
      </w:r>
      <w:r w:rsidRPr="00944B54">
        <w:rPr>
          <w:rFonts w:ascii="Times New Roman" w:hAnsi="Times New Roman"/>
          <w:sz w:val="24"/>
          <w:szCs w:val="24"/>
        </w:rPr>
        <w:t>shows how FDI contributed directly to GDP growth. As can be seen in Column (</w:t>
      </w:r>
      <w:r>
        <w:rPr>
          <w:rFonts w:ascii="Times New Roman" w:hAnsi="Times New Roman"/>
          <w:sz w:val="24"/>
          <w:szCs w:val="24"/>
        </w:rPr>
        <w:t>1</w:t>
      </w:r>
      <w:r w:rsidRPr="00944B54">
        <w:rPr>
          <w:rFonts w:ascii="Times New Roman" w:hAnsi="Times New Roman"/>
          <w:sz w:val="24"/>
          <w:szCs w:val="24"/>
        </w:rPr>
        <w:t xml:space="preserve">), FDI seems to have a </w:t>
      </w:r>
      <w:r>
        <w:rPr>
          <w:rFonts w:ascii="Times New Roman" w:hAnsi="Times New Roman"/>
          <w:sz w:val="24"/>
          <w:szCs w:val="24"/>
        </w:rPr>
        <w:t>non-</w:t>
      </w:r>
      <w:r w:rsidRPr="00944B54">
        <w:rPr>
          <w:rFonts w:ascii="Times New Roman" w:hAnsi="Times New Roman"/>
          <w:sz w:val="24"/>
          <w:szCs w:val="24"/>
        </w:rPr>
        <w:t xml:space="preserve">favorable effect on economic </w:t>
      </w:r>
      <w:r>
        <w:rPr>
          <w:rFonts w:ascii="Times New Roman" w:hAnsi="Times New Roman"/>
          <w:sz w:val="24"/>
          <w:szCs w:val="24"/>
        </w:rPr>
        <w:t>growth per capita</w:t>
      </w:r>
      <w:r w:rsidRPr="00944B54">
        <w:rPr>
          <w:rFonts w:ascii="Times New Roman" w:hAnsi="Times New Roman"/>
          <w:sz w:val="24"/>
          <w:szCs w:val="24"/>
        </w:rPr>
        <w:t xml:space="preserve">. The coefficient on FDI is much smaller and less significant after controlling for more factors, as shown in Column (b). This suggests that the direct effect of FDI on development is weakened under various circumstances and that the degree of relevance of the FDI-growth nexus may change depending on how well variables are controlled for. This finding precisely captures a common difficulty encountered when attempting to analyze the FDI-growth nexus in the empirical growth literature. There is some theoretical support for the idea that FDI is growth-enhancing, but this isn't necessarily borne out in the data. </w:t>
      </w:r>
    </w:p>
    <w:p w14:paraId="2A28F13A" w14:textId="77777777" w:rsidR="007679D7" w:rsidRDefault="007679D7" w:rsidP="007679D7">
      <w:pPr>
        <w:spacing w:line="360" w:lineRule="auto"/>
        <w:jc w:val="both"/>
        <w:rPr>
          <w:rFonts w:ascii="Times New Roman" w:hAnsi="Times New Roman"/>
          <w:sz w:val="24"/>
          <w:szCs w:val="24"/>
        </w:rPr>
      </w:pPr>
    </w:p>
    <w:p w14:paraId="4518B3C5" w14:textId="33026745"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lastRenderedPageBreak/>
        <w:t>Table 2 Correlation Matrix</w:t>
      </w:r>
    </w:p>
    <w:p w14:paraId="5FB55805" w14:textId="77777777" w:rsidR="007679D7" w:rsidRDefault="007679D7" w:rsidP="007679D7">
      <w:pPr>
        <w:spacing w:line="360" w:lineRule="auto"/>
        <w:jc w:val="both"/>
        <w:rPr>
          <w:rFonts w:ascii="Times New Roman" w:hAnsi="Times New Roman"/>
          <w:sz w:val="24"/>
          <w:szCs w:val="24"/>
        </w:rPr>
      </w:pPr>
      <w:r w:rsidRPr="00D04866">
        <w:rPr>
          <w:rFonts w:ascii="Times New Roman" w:hAnsi="Times New Roman"/>
          <w:sz w:val="24"/>
          <w:szCs w:val="24"/>
        </w:rPr>
        <w:drawing>
          <wp:inline distT="0" distB="0" distL="0" distR="0" wp14:anchorId="3A8B0E0B" wp14:editId="03A67FBC">
            <wp:extent cx="6169025" cy="17297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2096" cy="1733405"/>
                    </a:xfrm>
                    <a:prstGeom prst="rect">
                      <a:avLst/>
                    </a:prstGeom>
                  </pic:spPr>
                </pic:pic>
              </a:graphicData>
            </a:graphic>
          </wp:inline>
        </w:drawing>
      </w:r>
    </w:p>
    <w:p w14:paraId="3B3554B3" w14:textId="77777777" w:rsidR="007679D7" w:rsidRPr="00CD67AE" w:rsidRDefault="007679D7" w:rsidP="007679D7">
      <w:pPr>
        <w:spacing w:line="360" w:lineRule="auto"/>
        <w:jc w:val="both"/>
        <w:rPr>
          <w:rFonts w:ascii="Times New Roman" w:hAnsi="Times New Roman"/>
          <w:sz w:val="24"/>
          <w:szCs w:val="24"/>
        </w:rPr>
      </w:pPr>
      <w:r w:rsidRPr="00CD67AE">
        <w:rPr>
          <w:rFonts w:ascii="Times New Roman" w:hAnsi="Times New Roman"/>
          <w:sz w:val="24"/>
          <w:szCs w:val="24"/>
        </w:rPr>
        <w:t xml:space="preserve">At the 1% to 5% significance levels, FDI inflows have </w:t>
      </w:r>
      <w:r>
        <w:rPr>
          <w:rFonts w:ascii="Times New Roman" w:hAnsi="Times New Roman"/>
          <w:sz w:val="24"/>
          <w:szCs w:val="24"/>
        </w:rPr>
        <w:t>positive</w:t>
      </w:r>
      <w:r w:rsidRPr="00CD67AE">
        <w:rPr>
          <w:rFonts w:ascii="Times New Roman" w:hAnsi="Times New Roman"/>
          <w:sz w:val="24"/>
          <w:szCs w:val="24"/>
        </w:rPr>
        <w:t xml:space="preserve"> effect on </w:t>
      </w:r>
      <w:r>
        <w:rPr>
          <w:rFonts w:ascii="Times New Roman" w:hAnsi="Times New Roman"/>
          <w:sz w:val="24"/>
          <w:szCs w:val="24"/>
        </w:rPr>
        <w:t xml:space="preserve">GDP per cap. </w:t>
      </w:r>
      <w:r w:rsidRPr="00CD67AE">
        <w:rPr>
          <w:rFonts w:ascii="Times New Roman" w:hAnsi="Times New Roman"/>
          <w:sz w:val="24"/>
          <w:szCs w:val="24"/>
        </w:rPr>
        <w:t>This conclusion is</w:t>
      </w:r>
      <w:r>
        <w:rPr>
          <w:rFonts w:ascii="Times New Roman" w:hAnsi="Times New Roman"/>
          <w:sz w:val="24"/>
          <w:szCs w:val="24"/>
        </w:rPr>
        <w:t xml:space="preserve"> </w:t>
      </w:r>
      <w:r w:rsidRPr="00CD67AE">
        <w:rPr>
          <w:rFonts w:ascii="Times New Roman" w:hAnsi="Times New Roman"/>
          <w:sz w:val="24"/>
          <w:szCs w:val="24"/>
        </w:rPr>
        <w:t>supported by the findings from</w:t>
      </w:r>
      <w:r>
        <w:rPr>
          <w:rFonts w:ascii="Times New Roman" w:hAnsi="Times New Roman"/>
          <w:sz w:val="24"/>
          <w:szCs w:val="24"/>
        </w:rPr>
        <w:t xml:space="preserve"> </w:t>
      </w:r>
      <w:r w:rsidRPr="00CD67AE">
        <w:rPr>
          <w:rFonts w:ascii="Times New Roman" w:hAnsi="Times New Roman"/>
          <w:sz w:val="24"/>
          <w:szCs w:val="24"/>
        </w:rPr>
        <w:t>Henri, Luc, and Larissa (2019)</w:t>
      </w:r>
      <w:r>
        <w:rPr>
          <w:rFonts w:ascii="Times New Roman" w:hAnsi="Times New Roman"/>
          <w:sz w:val="24"/>
          <w:szCs w:val="24"/>
        </w:rPr>
        <w:t xml:space="preserve"> and</w:t>
      </w:r>
      <w:r w:rsidRPr="00CD67AE">
        <w:rPr>
          <w:rFonts w:ascii="Times New Roman" w:hAnsi="Times New Roman"/>
          <w:sz w:val="24"/>
          <w:szCs w:val="24"/>
        </w:rPr>
        <w:t xml:space="preserve"> Hajilee and Nasser (2015</w:t>
      </w:r>
      <w:r>
        <w:rPr>
          <w:rFonts w:ascii="Times New Roman" w:hAnsi="Times New Roman"/>
          <w:sz w:val="24"/>
          <w:szCs w:val="24"/>
        </w:rPr>
        <w:t>). T</w:t>
      </w:r>
      <w:r w:rsidRPr="00CD67AE">
        <w:rPr>
          <w:rFonts w:ascii="Times New Roman" w:hAnsi="Times New Roman"/>
          <w:sz w:val="24"/>
          <w:szCs w:val="24"/>
        </w:rPr>
        <w:t xml:space="preserve">he strong association between FDI and financial growth shows that governments have established adequate and efficient rules in order to accommodate and make use of the quantity of FDI inflows. Because of this, FDI will be able to successfully help these </w:t>
      </w:r>
      <w:r>
        <w:rPr>
          <w:rFonts w:ascii="Times New Roman" w:hAnsi="Times New Roman"/>
          <w:sz w:val="24"/>
          <w:szCs w:val="24"/>
        </w:rPr>
        <w:t>countries</w:t>
      </w:r>
      <w:r w:rsidRPr="00CD67AE">
        <w:rPr>
          <w:rFonts w:ascii="Times New Roman" w:hAnsi="Times New Roman"/>
          <w:sz w:val="24"/>
          <w:szCs w:val="24"/>
        </w:rPr>
        <w:t>' financial performance.</w:t>
      </w:r>
    </w:p>
    <w:p w14:paraId="07FF3AC3" w14:textId="1E9AAE76" w:rsidR="007679D7" w:rsidRDefault="007679D7" w:rsidP="007679D7">
      <w:pPr>
        <w:spacing w:line="360" w:lineRule="auto"/>
        <w:jc w:val="both"/>
        <w:rPr>
          <w:rFonts w:ascii="Times New Roman" w:hAnsi="Times New Roman"/>
          <w:sz w:val="24"/>
          <w:szCs w:val="24"/>
        </w:rPr>
      </w:pPr>
      <w:r w:rsidRPr="008A6AE2">
        <w:rPr>
          <w:rFonts w:ascii="Times New Roman" w:hAnsi="Times New Roman"/>
          <w:sz w:val="24"/>
          <w:szCs w:val="24"/>
        </w:rPr>
        <w:t xml:space="preserve">The </w:t>
      </w:r>
      <w:r>
        <w:rPr>
          <w:rFonts w:ascii="Times New Roman" w:hAnsi="Times New Roman"/>
          <w:sz w:val="24"/>
          <w:szCs w:val="24"/>
        </w:rPr>
        <w:t xml:space="preserve">trade openness </w:t>
      </w:r>
      <w:r w:rsidRPr="008A6AE2">
        <w:rPr>
          <w:rFonts w:ascii="Times New Roman" w:hAnsi="Times New Roman"/>
          <w:sz w:val="24"/>
          <w:szCs w:val="24"/>
        </w:rPr>
        <w:t xml:space="preserve">as well as the </w:t>
      </w:r>
      <w:r>
        <w:rPr>
          <w:rFonts w:ascii="Times New Roman" w:hAnsi="Times New Roman"/>
          <w:sz w:val="24"/>
          <w:szCs w:val="24"/>
        </w:rPr>
        <w:t>changes</w:t>
      </w:r>
      <w:r w:rsidRPr="008A6AE2">
        <w:rPr>
          <w:rFonts w:ascii="Times New Roman" w:hAnsi="Times New Roman"/>
          <w:sz w:val="24"/>
          <w:szCs w:val="24"/>
        </w:rPr>
        <w:t xml:space="preserve"> in population both have a </w:t>
      </w:r>
      <w:r>
        <w:rPr>
          <w:rFonts w:ascii="Times New Roman" w:hAnsi="Times New Roman"/>
          <w:sz w:val="24"/>
          <w:szCs w:val="24"/>
        </w:rPr>
        <w:t xml:space="preserve">negatively </w:t>
      </w:r>
      <w:r w:rsidRPr="008A6AE2">
        <w:rPr>
          <w:rFonts w:ascii="Times New Roman" w:hAnsi="Times New Roman"/>
          <w:sz w:val="24"/>
          <w:szCs w:val="24"/>
        </w:rPr>
        <w:t xml:space="preserve">effect on economic growth. </w:t>
      </w:r>
      <w:r>
        <w:rPr>
          <w:rFonts w:ascii="Times New Roman" w:hAnsi="Times New Roman"/>
          <w:sz w:val="24"/>
          <w:szCs w:val="24"/>
        </w:rPr>
        <w:t xml:space="preserve"> These findings are not supported by </w:t>
      </w:r>
      <w:r w:rsidRPr="008A6AE2">
        <w:rPr>
          <w:rFonts w:ascii="Times New Roman" w:hAnsi="Times New Roman"/>
          <w:sz w:val="24"/>
          <w:szCs w:val="24"/>
        </w:rPr>
        <w:t xml:space="preserve">Rajan and Zingales (2003), one may draw the conclusion that </w:t>
      </w:r>
      <w:r>
        <w:rPr>
          <w:rFonts w:ascii="Times New Roman" w:hAnsi="Times New Roman"/>
          <w:sz w:val="24"/>
          <w:szCs w:val="24"/>
        </w:rPr>
        <w:t>Georgia</w:t>
      </w:r>
      <w:r w:rsidRPr="008A6AE2">
        <w:rPr>
          <w:rFonts w:ascii="Times New Roman" w:hAnsi="Times New Roman"/>
          <w:sz w:val="24"/>
          <w:szCs w:val="24"/>
        </w:rPr>
        <w:t xml:space="preserve"> is</w:t>
      </w:r>
      <w:r>
        <w:rPr>
          <w:rFonts w:ascii="Times New Roman" w:hAnsi="Times New Roman"/>
          <w:sz w:val="24"/>
          <w:szCs w:val="24"/>
        </w:rPr>
        <w:t xml:space="preserve"> not</w:t>
      </w:r>
      <w:r w:rsidRPr="008A6AE2">
        <w:rPr>
          <w:rFonts w:ascii="Times New Roman" w:hAnsi="Times New Roman"/>
          <w:sz w:val="24"/>
          <w:szCs w:val="24"/>
        </w:rPr>
        <w:t xml:space="preserve"> performing well in integrating trade openness, population expansion. This is one of the conclusions that can be drawn from their research</w:t>
      </w:r>
      <w:r>
        <w:rPr>
          <w:rFonts w:ascii="Times New Roman" w:hAnsi="Times New Roman"/>
          <w:sz w:val="24"/>
          <w:szCs w:val="24"/>
        </w:rPr>
        <w:t xml:space="preserve"> (see table 3).</w:t>
      </w:r>
    </w:p>
    <w:p w14:paraId="05A921D9" w14:textId="77777777" w:rsidR="00CB3A1B" w:rsidRDefault="00CB3A1B" w:rsidP="00CB3A1B">
      <w:pPr>
        <w:spacing w:line="360" w:lineRule="auto"/>
        <w:jc w:val="both"/>
        <w:rPr>
          <w:rFonts w:ascii="Times New Roman" w:hAnsi="Times New Roman"/>
          <w:sz w:val="24"/>
          <w:szCs w:val="24"/>
        </w:rPr>
      </w:pPr>
      <w:r w:rsidRPr="00F760CA">
        <w:rPr>
          <w:rFonts w:ascii="Times New Roman" w:hAnsi="Times New Roman"/>
          <w:sz w:val="24"/>
          <w:szCs w:val="24"/>
        </w:rPr>
        <w:t xml:space="preserve">In </w:t>
      </w:r>
      <w:r>
        <w:rPr>
          <w:rFonts w:ascii="Times New Roman" w:hAnsi="Times New Roman"/>
          <w:sz w:val="24"/>
          <w:szCs w:val="24"/>
        </w:rPr>
        <w:t>Georgia</w:t>
      </w:r>
      <w:r w:rsidRPr="00F760CA">
        <w:rPr>
          <w:rFonts w:ascii="Times New Roman" w:hAnsi="Times New Roman"/>
          <w:sz w:val="24"/>
          <w:szCs w:val="24"/>
        </w:rPr>
        <w:t xml:space="preserve">, inflation and </w:t>
      </w:r>
      <w:r>
        <w:rPr>
          <w:rFonts w:ascii="Times New Roman" w:hAnsi="Times New Roman"/>
          <w:sz w:val="24"/>
          <w:szCs w:val="24"/>
        </w:rPr>
        <w:t>private sector development</w:t>
      </w:r>
      <w:r w:rsidRPr="00F760CA">
        <w:rPr>
          <w:rFonts w:ascii="Times New Roman" w:hAnsi="Times New Roman"/>
          <w:sz w:val="24"/>
          <w:szCs w:val="24"/>
        </w:rPr>
        <w:t xml:space="preserve"> have a </w:t>
      </w:r>
      <w:r>
        <w:rPr>
          <w:rFonts w:ascii="Times New Roman" w:hAnsi="Times New Roman"/>
          <w:sz w:val="24"/>
          <w:szCs w:val="24"/>
        </w:rPr>
        <w:t>positive</w:t>
      </w:r>
      <w:r w:rsidRPr="00F760CA">
        <w:rPr>
          <w:rFonts w:ascii="Times New Roman" w:hAnsi="Times New Roman"/>
          <w:sz w:val="24"/>
          <w:szCs w:val="24"/>
        </w:rPr>
        <w:t xml:space="preserve"> connection; this indicates that a country that has a rise in its inflation rate would also experience a </w:t>
      </w:r>
      <w:r>
        <w:rPr>
          <w:rFonts w:ascii="Times New Roman" w:hAnsi="Times New Roman"/>
          <w:sz w:val="24"/>
          <w:szCs w:val="24"/>
        </w:rPr>
        <w:t>increase</w:t>
      </w:r>
      <w:r w:rsidRPr="00F760CA">
        <w:rPr>
          <w:rFonts w:ascii="Times New Roman" w:hAnsi="Times New Roman"/>
          <w:sz w:val="24"/>
          <w:szCs w:val="24"/>
        </w:rPr>
        <w:t xml:space="preserve"> in the advancement of its </w:t>
      </w:r>
      <w:r>
        <w:rPr>
          <w:rFonts w:ascii="Times New Roman" w:hAnsi="Times New Roman"/>
          <w:sz w:val="24"/>
          <w:szCs w:val="24"/>
        </w:rPr>
        <w:t>growth in economy</w:t>
      </w:r>
      <w:r w:rsidRPr="00F760CA">
        <w:rPr>
          <w:rFonts w:ascii="Times New Roman" w:hAnsi="Times New Roman"/>
          <w:sz w:val="24"/>
          <w:szCs w:val="24"/>
        </w:rPr>
        <w:t xml:space="preserve">. The finding that inflation had a </w:t>
      </w:r>
      <w:r>
        <w:rPr>
          <w:rFonts w:ascii="Times New Roman" w:hAnsi="Times New Roman"/>
          <w:sz w:val="24"/>
          <w:szCs w:val="24"/>
        </w:rPr>
        <w:t>positive</w:t>
      </w:r>
      <w:r w:rsidRPr="00F760CA">
        <w:rPr>
          <w:rFonts w:ascii="Times New Roman" w:hAnsi="Times New Roman"/>
          <w:sz w:val="24"/>
          <w:szCs w:val="24"/>
        </w:rPr>
        <w:t xml:space="preserve"> impact on </w:t>
      </w:r>
      <w:r>
        <w:rPr>
          <w:rFonts w:ascii="Times New Roman" w:hAnsi="Times New Roman"/>
          <w:sz w:val="24"/>
          <w:szCs w:val="24"/>
        </w:rPr>
        <w:t>economic growth</w:t>
      </w:r>
      <w:r w:rsidRPr="00F760CA">
        <w:rPr>
          <w:rFonts w:ascii="Times New Roman" w:hAnsi="Times New Roman"/>
          <w:sz w:val="24"/>
          <w:szCs w:val="24"/>
        </w:rPr>
        <w:t xml:space="preserve"> in </w:t>
      </w:r>
      <w:r>
        <w:rPr>
          <w:rFonts w:ascii="Times New Roman" w:hAnsi="Times New Roman"/>
          <w:sz w:val="24"/>
          <w:szCs w:val="24"/>
        </w:rPr>
        <w:t>Georgia</w:t>
      </w:r>
      <w:r w:rsidRPr="00F760CA">
        <w:rPr>
          <w:rFonts w:ascii="Times New Roman" w:hAnsi="Times New Roman"/>
          <w:sz w:val="24"/>
          <w:szCs w:val="24"/>
        </w:rPr>
        <w:t xml:space="preserve"> is consistent with the findings of</w:t>
      </w:r>
      <w:r>
        <w:rPr>
          <w:rFonts w:ascii="Times New Roman" w:hAnsi="Times New Roman"/>
          <w:sz w:val="24"/>
          <w:szCs w:val="24"/>
        </w:rPr>
        <w:t xml:space="preserve"> </w:t>
      </w:r>
      <w:r w:rsidRPr="00F760CA">
        <w:rPr>
          <w:rFonts w:ascii="Times New Roman" w:hAnsi="Times New Roman"/>
          <w:sz w:val="24"/>
          <w:szCs w:val="24"/>
        </w:rPr>
        <w:t xml:space="preserve">Bittencourt </w:t>
      </w:r>
      <w:r w:rsidRPr="00DD0775">
        <w:rPr>
          <w:rFonts w:ascii="Times New Roman" w:hAnsi="Times New Roman"/>
          <w:sz w:val="24"/>
          <w:szCs w:val="24"/>
        </w:rPr>
        <w:t>(2012)</w:t>
      </w:r>
      <w:r>
        <w:rPr>
          <w:rFonts w:ascii="Times New Roman" w:hAnsi="Times New Roman"/>
          <w:sz w:val="24"/>
          <w:szCs w:val="24"/>
        </w:rPr>
        <w:t xml:space="preserve"> and</w:t>
      </w:r>
      <w:r w:rsidRPr="00F760CA">
        <w:rPr>
          <w:rFonts w:ascii="Times New Roman" w:hAnsi="Times New Roman"/>
          <w:sz w:val="24"/>
          <w:szCs w:val="24"/>
        </w:rPr>
        <w:t xml:space="preserve"> Rousseau and Yilmazkuday (2009</w:t>
      </w:r>
      <w:r>
        <w:rPr>
          <w:rFonts w:ascii="Times New Roman" w:hAnsi="Times New Roman"/>
          <w:sz w:val="24"/>
          <w:szCs w:val="24"/>
        </w:rPr>
        <w:t>).</w:t>
      </w:r>
      <w:r w:rsidRPr="00F760CA">
        <w:rPr>
          <w:rFonts w:ascii="Times New Roman" w:hAnsi="Times New Roman"/>
          <w:sz w:val="24"/>
          <w:szCs w:val="24"/>
        </w:rPr>
        <w:t xml:space="preserve"> These researchers all came to the conclusion that inflation had this effect.</w:t>
      </w:r>
    </w:p>
    <w:p w14:paraId="44843DDA" w14:textId="77777777" w:rsidR="00CB3A1B" w:rsidRPr="00030ECB" w:rsidRDefault="00CB3A1B" w:rsidP="00CB3A1B">
      <w:pPr>
        <w:spacing w:line="360" w:lineRule="auto"/>
        <w:jc w:val="both"/>
        <w:rPr>
          <w:rFonts w:ascii="Times New Roman" w:hAnsi="Times New Roman"/>
          <w:sz w:val="24"/>
          <w:szCs w:val="24"/>
        </w:rPr>
      </w:pPr>
      <w:r w:rsidRPr="00030ECB">
        <w:rPr>
          <w:rFonts w:ascii="Times New Roman" w:hAnsi="Times New Roman"/>
          <w:sz w:val="24"/>
          <w:szCs w:val="24"/>
        </w:rPr>
        <w:t xml:space="preserve">Government </w:t>
      </w:r>
      <w:r>
        <w:rPr>
          <w:rFonts w:ascii="Times New Roman" w:hAnsi="Times New Roman"/>
          <w:sz w:val="24"/>
          <w:szCs w:val="24"/>
        </w:rPr>
        <w:t>debt</w:t>
      </w:r>
      <w:r w:rsidRPr="00030ECB">
        <w:rPr>
          <w:rFonts w:ascii="Times New Roman" w:hAnsi="Times New Roman"/>
          <w:sz w:val="24"/>
          <w:szCs w:val="24"/>
        </w:rPr>
        <w:t xml:space="preserve"> is determined to have no influence on </w:t>
      </w:r>
      <w:r>
        <w:rPr>
          <w:rFonts w:ascii="Times New Roman" w:hAnsi="Times New Roman"/>
          <w:sz w:val="24"/>
          <w:szCs w:val="24"/>
        </w:rPr>
        <w:t>economic growth</w:t>
      </w:r>
      <w:r w:rsidRPr="00030ECB">
        <w:rPr>
          <w:rFonts w:ascii="Times New Roman" w:hAnsi="Times New Roman"/>
          <w:sz w:val="24"/>
          <w:szCs w:val="24"/>
        </w:rPr>
        <w:t xml:space="preserve"> in </w:t>
      </w:r>
      <w:r>
        <w:rPr>
          <w:rFonts w:ascii="Times New Roman" w:hAnsi="Times New Roman"/>
          <w:sz w:val="24"/>
          <w:szCs w:val="24"/>
        </w:rPr>
        <w:t>Georgia</w:t>
      </w:r>
      <w:r w:rsidRPr="00030ECB">
        <w:rPr>
          <w:rFonts w:ascii="Times New Roman" w:hAnsi="Times New Roman"/>
          <w:sz w:val="24"/>
          <w:szCs w:val="24"/>
        </w:rPr>
        <w:t>, and there is no correlation between the FD</w:t>
      </w:r>
      <w:r>
        <w:rPr>
          <w:rFonts w:ascii="Times New Roman" w:hAnsi="Times New Roman"/>
          <w:sz w:val="24"/>
          <w:szCs w:val="24"/>
        </w:rPr>
        <w:t>I</w:t>
      </w:r>
      <w:r w:rsidRPr="00030ECB">
        <w:rPr>
          <w:rFonts w:ascii="Times New Roman" w:hAnsi="Times New Roman"/>
          <w:sz w:val="24"/>
          <w:szCs w:val="24"/>
        </w:rPr>
        <w:t xml:space="preserve"> and the proportion of final government </w:t>
      </w:r>
      <w:r>
        <w:rPr>
          <w:rFonts w:ascii="Times New Roman" w:hAnsi="Times New Roman"/>
          <w:sz w:val="24"/>
          <w:szCs w:val="24"/>
        </w:rPr>
        <w:t>debt</w:t>
      </w:r>
      <w:r w:rsidRPr="00030ECB">
        <w:rPr>
          <w:rFonts w:ascii="Times New Roman" w:hAnsi="Times New Roman"/>
          <w:sz w:val="24"/>
          <w:szCs w:val="24"/>
        </w:rPr>
        <w:t xml:space="preserve"> over GDP.</w:t>
      </w:r>
    </w:p>
    <w:p w14:paraId="1280B543" w14:textId="77777777" w:rsidR="00CB3A1B" w:rsidRDefault="00CB3A1B" w:rsidP="00CB3A1B">
      <w:pPr>
        <w:spacing w:line="360" w:lineRule="auto"/>
        <w:jc w:val="both"/>
        <w:rPr>
          <w:rFonts w:ascii="Times New Roman" w:hAnsi="Times New Roman"/>
          <w:b/>
          <w:bCs/>
          <w:sz w:val="24"/>
          <w:szCs w:val="24"/>
        </w:rPr>
      </w:pPr>
      <w:r w:rsidRPr="00DD0775">
        <w:rPr>
          <w:rFonts w:ascii="Times New Roman" w:hAnsi="Times New Roman"/>
          <w:b/>
          <w:bCs/>
          <w:sz w:val="24"/>
          <w:szCs w:val="24"/>
          <w:lang w:val="en-US"/>
        </w:rPr>
        <w:t xml:space="preserve">3.1. </w:t>
      </w:r>
      <w:r w:rsidRPr="00DD0775">
        <w:rPr>
          <w:rFonts w:ascii="Times New Roman" w:hAnsi="Times New Roman"/>
          <w:b/>
          <w:bCs/>
          <w:sz w:val="24"/>
          <w:szCs w:val="24"/>
        </w:rPr>
        <w:t>Result of t</w:t>
      </w:r>
      <w:r w:rsidRPr="002D0E71">
        <w:rPr>
          <w:rFonts w:ascii="Times New Roman" w:hAnsi="Times New Roman"/>
          <w:b/>
          <w:bCs/>
          <w:sz w:val="24"/>
          <w:szCs w:val="24"/>
        </w:rPr>
        <w:t>hreshold nexus GDP per cap growth-FDI as GDP</w:t>
      </w:r>
    </w:p>
    <w:p w14:paraId="6EB68542" w14:textId="77777777" w:rsidR="00CB3A1B" w:rsidRPr="00DD0775" w:rsidRDefault="00CB3A1B" w:rsidP="00CB3A1B">
      <w:pPr>
        <w:spacing w:line="360" w:lineRule="auto"/>
        <w:jc w:val="both"/>
        <w:rPr>
          <w:rFonts w:ascii="Times New Roman" w:hAnsi="Times New Roman"/>
          <w:b/>
          <w:bCs/>
          <w:sz w:val="24"/>
          <w:szCs w:val="24"/>
        </w:rPr>
      </w:pPr>
      <w:r w:rsidRPr="003C3DF0">
        <w:rPr>
          <w:rFonts w:ascii="Times New Roman" w:hAnsi="Times New Roman"/>
          <w:sz w:val="24"/>
          <w:szCs w:val="24"/>
        </w:rPr>
        <w:t>One possible component of the nonlinear relationship is that the connection between FDI and growth changes before or after a certain value of one of the explanatory variables in the regression equation. In this cas</w:t>
      </w:r>
      <w:r>
        <w:rPr>
          <w:rFonts w:ascii="Times New Roman" w:hAnsi="Times New Roman"/>
          <w:sz w:val="24"/>
          <w:szCs w:val="24"/>
        </w:rPr>
        <w:t>e. I</w:t>
      </w:r>
      <w:r w:rsidRPr="003C3DF0">
        <w:rPr>
          <w:rFonts w:ascii="Times New Roman" w:hAnsi="Times New Roman"/>
          <w:sz w:val="24"/>
          <w:szCs w:val="24"/>
        </w:rPr>
        <w:t xml:space="preserve"> apply the threshold regression analysis to address this in the next section.</w:t>
      </w:r>
    </w:p>
    <w:p w14:paraId="1A0392A6" w14:textId="65B9BA74" w:rsidR="007679D7" w:rsidRPr="00CB3A1B" w:rsidRDefault="007679D7" w:rsidP="007679D7">
      <w:pPr>
        <w:spacing w:line="360" w:lineRule="auto"/>
        <w:jc w:val="both"/>
        <w:rPr>
          <w:rFonts w:ascii="Times New Roman" w:hAnsi="Times New Roman"/>
          <w:b/>
          <w:bCs/>
          <w:sz w:val="24"/>
          <w:szCs w:val="24"/>
        </w:rPr>
      </w:pPr>
      <w:r w:rsidRPr="00CB3A1B">
        <w:rPr>
          <w:rFonts w:ascii="Times New Roman" w:hAnsi="Times New Roman"/>
          <w:b/>
          <w:bCs/>
          <w:sz w:val="24"/>
          <w:szCs w:val="24"/>
        </w:rPr>
        <w:lastRenderedPageBreak/>
        <w:t xml:space="preserve">Table 3 OLS result </w:t>
      </w:r>
    </w:p>
    <w:tbl>
      <w:tblPr>
        <w:tblW w:w="5000" w:type="pct"/>
        <w:jc w:val="center"/>
        <w:tblCellMar>
          <w:left w:w="75" w:type="dxa"/>
          <w:right w:w="75" w:type="dxa"/>
        </w:tblCellMar>
        <w:tblLook w:val="04A0" w:firstRow="1" w:lastRow="0" w:firstColumn="1" w:lastColumn="0" w:noHBand="0" w:noVBand="1"/>
      </w:tblPr>
      <w:tblGrid>
        <w:gridCol w:w="4768"/>
        <w:gridCol w:w="2885"/>
        <w:gridCol w:w="2885"/>
      </w:tblGrid>
      <w:tr w:rsidR="007679D7" w14:paraId="35D84D5B" w14:textId="77777777" w:rsidTr="006422B2">
        <w:trPr>
          <w:jc w:val="center"/>
        </w:trPr>
        <w:tc>
          <w:tcPr>
            <w:tcW w:w="2262" w:type="pct"/>
            <w:tcBorders>
              <w:top w:val="single" w:sz="6" w:space="0" w:color="auto"/>
              <w:left w:val="nil"/>
              <w:bottom w:val="nil"/>
              <w:right w:val="nil"/>
            </w:tcBorders>
          </w:tcPr>
          <w:p w14:paraId="161DBA2E"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Borders>
              <w:top w:val="single" w:sz="6" w:space="0" w:color="auto"/>
              <w:left w:val="nil"/>
              <w:bottom w:val="nil"/>
              <w:right w:val="nil"/>
            </w:tcBorders>
            <w:hideMark/>
          </w:tcPr>
          <w:p w14:paraId="0D7C425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369" w:type="pct"/>
            <w:tcBorders>
              <w:top w:val="single" w:sz="6" w:space="0" w:color="auto"/>
              <w:left w:val="nil"/>
              <w:bottom w:val="nil"/>
              <w:right w:val="nil"/>
            </w:tcBorders>
            <w:hideMark/>
          </w:tcPr>
          <w:p w14:paraId="7308DB7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7679D7" w14:paraId="5D9028DF" w14:textId="77777777" w:rsidTr="006422B2">
        <w:trPr>
          <w:jc w:val="center"/>
        </w:trPr>
        <w:tc>
          <w:tcPr>
            <w:tcW w:w="2262" w:type="pct"/>
            <w:tcBorders>
              <w:top w:val="nil"/>
              <w:left w:val="nil"/>
              <w:bottom w:val="single" w:sz="6" w:space="0" w:color="auto"/>
              <w:right w:val="nil"/>
            </w:tcBorders>
            <w:hideMark/>
          </w:tcPr>
          <w:p w14:paraId="461C6FE7"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VARIABLES</w:t>
            </w:r>
          </w:p>
        </w:tc>
        <w:tc>
          <w:tcPr>
            <w:tcW w:w="1369" w:type="pct"/>
            <w:tcBorders>
              <w:top w:val="nil"/>
              <w:left w:val="nil"/>
              <w:bottom w:val="single" w:sz="6" w:space="0" w:color="auto"/>
              <w:right w:val="nil"/>
            </w:tcBorders>
            <w:hideMark/>
          </w:tcPr>
          <w:p w14:paraId="4BFDD49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OLS</w:t>
            </w:r>
          </w:p>
        </w:tc>
        <w:tc>
          <w:tcPr>
            <w:tcW w:w="1369" w:type="pct"/>
            <w:tcBorders>
              <w:top w:val="nil"/>
              <w:left w:val="nil"/>
              <w:bottom w:val="single" w:sz="6" w:space="0" w:color="auto"/>
              <w:right w:val="nil"/>
            </w:tcBorders>
            <w:hideMark/>
          </w:tcPr>
          <w:p w14:paraId="63D0D53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OLS</w:t>
            </w:r>
          </w:p>
        </w:tc>
      </w:tr>
      <w:tr w:rsidR="007679D7" w14:paraId="36C7892B" w14:textId="77777777" w:rsidTr="006422B2">
        <w:trPr>
          <w:jc w:val="center"/>
        </w:trPr>
        <w:tc>
          <w:tcPr>
            <w:tcW w:w="2262" w:type="pct"/>
          </w:tcPr>
          <w:p w14:paraId="7E7CCBF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14A91A6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tcPr>
          <w:p w14:paraId="36675F8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2074AC07" w14:textId="77777777" w:rsidTr="006422B2">
        <w:trPr>
          <w:jc w:val="center"/>
        </w:trPr>
        <w:tc>
          <w:tcPr>
            <w:tcW w:w="2262" w:type="pct"/>
            <w:hideMark/>
          </w:tcPr>
          <w:p w14:paraId="1FE5FE0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FDI</w:t>
            </w:r>
          </w:p>
        </w:tc>
        <w:tc>
          <w:tcPr>
            <w:tcW w:w="1369" w:type="pct"/>
            <w:hideMark/>
          </w:tcPr>
          <w:p w14:paraId="554F305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1.019***</w:t>
            </w:r>
          </w:p>
        </w:tc>
        <w:tc>
          <w:tcPr>
            <w:tcW w:w="1369" w:type="pct"/>
            <w:hideMark/>
          </w:tcPr>
          <w:p w14:paraId="59FED66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-0.537**</w:t>
            </w:r>
          </w:p>
        </w:tc>
      </w:tr>
      <w:tr w:rsidR="007679D7" w14:paraId="76D3C613" w14:textId="77777777" w:rsidTr="006422B2">
        <w:trPr>
          <w:jc w:val="center"/>
        </w:trPr>
        <w:tc>
          <w:tcPr>
            <w:tcW w:w="2262" w:type="pct"/>
          </w:tcPr>
          <w:p w14:paraId="36F8444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6D5F8F4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(0.118)</w:t>
            </w:r>
          </w:p>
        </w:tc>
        <w:tc>
          <w:tcPr>
            <w:tcW w:w="1369" w:type="pct"/>
            <w:hideMark/>
          </w:tcPr>
          <w:p w14:paraId="0607DDC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(0.233)</w:t>
            </w:r>
          </w:p>
        </w:tc>
      </w:tr>
      <w:tr w:rsidR="007679D7" w14:paraId="6A3C9D81" w14:textId="77777777" w:rsidTr="006422B2">
        <w:trPr>
          <w:jc w:val="center"/>
        </w:trPr>
        <w:tc>
          <w:tcPr>
            <w:tcW w:w="2262" w:type="pct"/>
            <w:hideMark/>
          </w:tcPr>
          <w:p w14:paraId="3562BC3E"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Debt </w:t>
            </w:r>
          </w:p>
        </w:tc>
        <w:tc>
          <w:tcPr>
            <w:tcW w:w="1369" w:type="pct"/>
          </w:tcPr>
          <w:p w14:paraId="27DC5B6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4BAA95A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-0.0448</w:t>
            </w:r>
          </w:p>
        </w:tc>
      </w:tr>
      <w:tr w:rsidR="007679D7" w14:paraId="09446615" w14:textId="77777777" w:rsidTr="006422B2">
        <w:trPr>
          <w:jc w:val="center"/>
        </w:trPr>
        <w:tc>
          <w:tcPr>
            <w:tcW w:w="2262" w:type="pct"/>
          </w:tcPr>
          <w:p w14:paraId="32735CA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0EB5E64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7351194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(0.0729)</w:t>
            </w:r>
          </w:p>
        </w:tc>
      </w:tr>
      <w:tr w:rsidR="007679D7" w14:paraId="4A109E77" w14:textId="77777777" w:rsidTr="006422B2">
        <w:trPr>
          <w:jc w:val="center"/>
        </w:trPr>
        <w:tc>
          <w:tcPr>
            <w:tcW w:w="2262" w:type="pct"/>
            <w:hideMark/>
          </w:tcPr>
          <w:p w14:paraId="200CF5A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Trade openness</w:t>
            </w:r>
          </w:p>
        </w:tc>
        <w:tc>
          <w:tcPr>
            <w:tcW w:w="1369" w:type="pct"/>
          </w:tcPr>
          <w:p w14:paraId="2C386F6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0C162ED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-0.764***</w:t>
            </w:r>
          </w:p>
        </w:tc>
      </w:tr>
      <w:tr w:rsidR="007679D7" w14:paraId="38B182B4" w14:textId="77777777" w:rsidTr="006422B2">
        <w:trPr>
          <w:jc w:val="center"/>
        </w:trPr>
        <w:tc>
          <w:tcPr>
            <w:tcW w:w="2262" w:type="pct"/>
          </w:tcPr>
          <w:p w14:paraId="7A9C0E5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4FDE70D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239C27D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(0.201)</w:t>
            </w:r>
          </w:p>
        </w:tc>
      </w:tr>
      <w:tr w:rsidR="007679D7" w14:paraId="1ABBAAE1" w14:textId="77777777" w:rsidTr="006422B2">
        <w:trPr>
          <w:jc w:val="center"/>
        </w:trPr>
        <w:tc>
          <w:tcPr>
            <w:tcW w:w="2262" w:type="pct"/>
            <w:hideMark/>
          </w:tcPr>
          <w:p w14:paraId="0CF00930"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Unemployment </w:t>
            </w:r>
          </w:p>
        </w:tc>
        <w:tc>
          <w:tcPr>
            <w:tcW w:w="1369" w:type="pct"/>
          </w:tcPr>
          <w:p w14:paraId="6F9D291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7B3E291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-1.554***</w:t>
            </w:r>
          </w:p>
        </w:tc>
      </w:tr>
      <w:tr w:rsidR="007679D7" w14:paraId="42D525F8" w14:textId="77777777" w:rsidTr="006422B2">
        <w:trPr>
          <w:jc w:val="center"/>
        </w:trPr>
        <w:tc>
          <w:tcPr>
            <w:tcW w:w="2262" w:type="pct"/>
          </w:tcPr>
          <w:p w14:paraId="2C974AE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4320B57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58DD74C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(0.288)</w:t>
            </w:r>
          </w:p>
        </w:tc>
      </w:tr>
      <w:tr w:rsidR="007679D7" w14:paraId="300A5978" w14:textId="77777777" w:rsidTr="006422B2">
        <w:trPr>
          <w:jc w:val="center"/>
        </w:trPr>
        <w:tc>
          <w:tcPr>
            <w:tcW w:w="2262" w:type="pct"/>
            <w:hideMark/>
          </w:tcPr>
          <w:p w14:paraId="061E7FBA"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Inflation</w:t>
            </w:r>
          </w:p>
        </w:tc>
        <w:tc>
          <w:tcPr>
            <w:tcW w:w="1369" w:type="pct"/>
          </w:tcPr>
          <w:p w14:paraId="5B16B3D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10FF5FC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0.318***</w:t>
            </w:r>
          </w:p>
        </w:tc>
      </w:tr>
      <w:tr w:rsidR="007679D7" w14:paraId="37D6CAF0" w14:textId="77777777" w:rsidTr="006422B2">
        <w:trPr>
          <w:jc w:val="center"/>
        </w:trPr>
        <w:tc>
          <w:tcPr>
            <w:tcW w:w="2262" w:type="pct"/>
          </w:tcPr>
          <w:p w14:paraId="181713F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48655CC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hideMark/>
          </w:tcPr>
          <w:p w14:paraId="73A5B9D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(0.101)</w:t>
            </w:r>
          </w:p>
        </w:tc>
      </w:tr>
      <w:tr w:rsidR="007679D7" w14:paraId="02104496" w14:textId="77777777" w:rsidTr="006422B2">
        <w:trPr>
          <w:jc w:val="center"/>
        </w:trPr>
        <w:tc>
          <w:tcPr>
            <w:tcW w:w="2262" w:type="pct"/>
            <w:hideMark/>
          </w:tcPr>
          <w:p w14:paraId="4634399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Human Capital</w:t>
            </w:r>
          </w:p>
        </w:tc>
        <w:tc>
          <w:tcPr>
            <w:tcW w:w="1369" w:type="pct"/>
            <w:hideMark/>
          </w:tcPr>
          <w:p w14:paraId="5C9359D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-0.307</w:t>
            </w:r>
          </w:p>
        </w:tc>
        <w:tc>
          <w:tcPr>
            <w:tcW w:w="1369" w:type="pct"/>
            <w:hideMark/>
          </w:tcPr>
          <w:p w14:paraId="1BEA2EC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-2.503***</w:t>
            </w:r>
          </w:p>
        </w:tc>
      </w:tr>
      <w:tr w:rsidR="007679D7" w14:paraId="2B4D6F83" w14:textId="77777777" w:rsidTr="006422B2">
        <w:trPr>
          <w:jc w:val="center"/>
        </w:trPr>
        <w:tc>
          <w:tcPr>
            <w:tcW w:w="2262" w:type="pct"/>
          </w:tcPr>
          <w:p w14:paraId="4523D0E2"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0A11564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(0.305)</w:t>
            </w:r>
          </w:p>
        </w:tc>
        <w:tc>
          <w:tcPr>
            <w:tcW w:w="1369" w:type="pct"/>
            <w:hideMark/>
          </w:tcPr>
          <w:p w14:paraId="5626D88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(0.548)</w:t>
            </w:r>
          </w:p>
        </w:tc>
      </w:tr>
      <w:tr w:rsidR="007679D7" w14:paraId="4549788F" w14:textId="77777777" w:rsidTr="006422B2">
        <w:trPr>
          <w:jc w:val="center"/>
        </w:trPr>
        <w:tc>
          <w:tcPr>
            <w:tcW w:w="2262" w:type="pct"/>
            <w:hideMark/>
          </w:tcPr>
          <w:p w14:paraId="54BBBE7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Institutional Index</w:t>
            </w:r>
          </w:p>
        </w:tc>
        <w:tc>
          <w:tcPr>
            <w:tcW w:w="1369" w:type="pct"/>
            <w:hideMark/>
          </w:tcPr>
          <w:p w14:paraId="4186DF2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-0.672***</w:t>
            </w:r>
          </w:p>
        </w:tc>
        <w:tc>
          <w:tcPr>
            <w:tcW w:w="1369" w:type="pct"/>
            <w:hideMark/>
          </w:tcPr>
          <w:p w14:paraId="6E2CBC8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0.317</w:t>
            </w:r>
          </w:p>
        </w:tc>
      </w:tr>
      <w:tr w:rsidR="007679D7" w14:paraId="264D7E03" w14:textId="77777777" w:rsidTr="006422B2">
        <w:trPr>
          <w:jc w:val="center"/>
        </w:trPr>
        <w:tc>
          <w:tcPr>
            <w:tcW w:w="2262" w:type="pct"/>
          </w:tcPr>
          <w:p w14:paraId="2EA2E6FC"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3A840DA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(0.145)</w:t>
            </w:r>
          </w:p>
        </w:tc>
        <w:tc>
          <w:tcPr>
            <w:tcW w:w="1369" w:type="pct"/>
            <w:hideMark/>
          </w:tcPr>
          <w:p w14:paraId="770C19F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(0.259)</w:t>
            </w:r>
          </w:p>
        </w:tc>
      </w:tr>
      <w:tr w:rsidR="007679D7" w14:paraId="553CB798" w14:textId="77777777" w:rsidTr="006422B2">
        <w:trPr>
          <w:jc w:val="center"/>
        </w:trPr>
        <w:tc>
          <w:tcPr>
            <w:tcW w:w="2262" w:type="pct"/>
            <w:hideMark/>
          </w:tcPr>
          <w:p w14:paraId="05E80C0A"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Population</w:t>
            </w:r>
          </w:p>
        </w:tc>
        <w:tc>
          <w:tcPr>
            <w:tcW w:w="1369" w:type="pct"/>
            <w:hideMark/>
          </w:tcPr>
          <w:p w14:paraId="3222920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-13.68***</w:t>
            </w:r>
          </w:p>
        </w:tc>
        <w:tc>
          <w:tcPr>
            <w:tcW w:w="1369" w:type="pct"/>
            <w:hideMark/>
          </w:tcPr>
          <w:p w14:paraId="734911C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-11.40***</w:t>
            </w:r>
          </w:p>
        </w:tc>
      </w:tr>
      <w:tr w:rsidR="007679D7" w14:paraId="0F2F0802" w14:textId="77777777" w:rsidTr="006422B2">
        <w:trPr>
          <w:jc w:val="center"/>
        </w:trPr>
        <w:tc>
          <w:tcPr>
            <w:tcW w:w="2262" w:type="pct"/>
          </w:tcPr>
          <w:p w14:paraId="155C1F0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0A2037F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(2.187)</w:t>
            </w:r>
          </w:p>
        </w:tc>
        <w:tc>
          <w:tcPr>
            <w:tcW w:w="1369" w:type="pct"/>
            <w:hideMark/>
          </w:tcPr>
          <w:p w14:paraId="110F334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(2.527)</w:t>
            </w:r>
          </w:p>
        </w:tc>
      </w:tr>
      <w:tr w:rsidR="007679D7" w14:paraId="301A20A3" w14:textId="77777777" w:rsidTr="006422B2">
        <w:trPr>
          <w:jc w:val="center"/>
        </w:trPr>
        <w:tc>
          <w:tcPr>
            <w:tcW w:w="2262" w:type="pct"/>
            <w:hideMark/>
          </w:tcPr>
          <w:p w14:paraId="1A52E6B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Poverty</w:t>
            </w:r>
          </w:p>
        </w:tc>
        <w:tc>
          <w:tcPr>
            <w:tcW w:w="1369" w:type="pct"/>
            <w:hideMark/>
          </w:tcPr>
          <w:p w14:paraId="7969672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-0.567***</w:t>
            </w:r>
          </w:p>
        </w:tc>
        <w:tc>
          <w:tcPr>
            <w:tcW w:w="1369" w:type="pct"/>
            <w:hideMark/>
          </w:tcPr>
          <w:p w14:paraId="5BA6FBE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-0.458***</w:t>
            </w:r>
          </w:p>
        </w:tc>
      </w:tr>
      <w:tr w:rsidR="007679D7" w14:paraId="2FCF7A86" w14:textId="77777777" w:rsidTr="006422B2">
        <w:trPr>
          <w:jc w:val="center"/>
        </w:trPr>
        <w:tc>
          <w:tcPr>
            <w:tcW w:w="2262" w:type="pct"/>
          </w:tcPr>
          <w:p w14:paraId="7562D9A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6C444CE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(0.117)</w:t>
            </w:r>
          </w:p>
        </w:tc>
        <w:tc>
          <w:tcPr>
            <w:tcW w:w="1369" w:type="pct"/>
            <w:hideMark/>
          </w:tcPr>
          <w:p w14:paraId="1347428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(0.165)</w:t>
            </w:r>
          </w:p>
        </w:tc>
      </w:tr>
      <w:tr w:rsidR="007679D7" w14:paraId="186BA499" w14:textId="77777777" w:rsidTr="006422B2">
        <w:trPr>
          <w:jc w:val="center"/>
        </w:trPr>
        <w:tc>
          <w:tcPr>
            <w:tcW w:w="2262" w:type="pct"/>
            <w:hideMark/>
          </w:tcPr>
          <w:p w14:paraId="459C45D7"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Private sector development</w:t>
            </w:r>
          </w:p>
        </w:tc>
        <w:tc>
          <w:tcPr>
            <w:tcW w:w="1369" w:type="pct"/>
            <w:hideMark/>
          </w:tcPr>
          <w:p w14:paraId="173016C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1.566***</w:t>
            </w:r>
          </w:p>
        </w:tc>
        <w:tc>
          <w:tcPr>
            <w:tcW w:w="1369" w:type="pct"/>
            <w:hideMark/>
          </w:tcPr>
          <w:p w14:paraId="2AE7C48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0.332</w:t>
            </w:r>
          </w:p>
        </w:tc>
      </w:tr>
      <w:tr w:rsidR="007679D7" w14:paraId="288658BB" w14:textId="77777777" w:rsidTr="006422B2">
        <w:trPr>
          <w:jc w:val="center"/>
        </w:trPr>
        <w:tc>
          <w:tcPr>
            <w:tcW w:w="2262" w:type="pct"/>
          </w:tcPr>
          <w:p w14:paraId="7496397A"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4227EA7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(0.409)</w:t>
            </w:r>
          </w:p>
        </w:tc>
        <w:tc>
          <w:tcPr>
            <w:tcW w:w="1369" w:type="pct"/>
            <w:hideMark/>
          </w:tcPr>
          <w:p w14:paraId="105BB04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(0.693)</w:t>
            </w:r>
          </w:p>
        </w:tc>
      </w:tr>
      <w:tr w:rsidR="007679D7" w14:paraId="48254601" w14:textId="77777777" w:rsidTr="006422B2">
        <w:trPr>
          <w:jc w:val="center"/>
        </w:trPr>
        <w:tc>
          <w:tcPr>
            <w:tcW w:w="2262" w:type="pct"/>
            <w:hideMark/>
          </w:tcPr>
          <w:p w14:paraId="4506B59B"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Constant</w:t>
            </w:r>
          </w:p>
        </w:tc>
        <w:tc>
          <w:tcPr>
            <w:tcW w:w="1369" w:type="pct"/>
            <w:hideMark/>
          </w:tcPr>
          <w:p w14:paraId="2D71D39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-10.54</w:t>
            </w:r>
          </w:p>
        </w:tc>
        <w:tc>
          <w:tcPr>
            <w:tcW w:w="1369" w:type="pct"/>
            <w:hideMark/>
          </w:tcPr>
          <w:p w14:paraId="02CE873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137.2***</w:t>
            </w:r>
          </w:p>
        </w:tc>
      </w:tr>
      <w:tr w:rsidR="007679D7" w14:paraId="439AF226" w14:textId="77777777" w:rsidTr="006422B2">
        <w:trPr>
          <w:jc w:val="center"/>
        </w:trPr>
        <w:tc>
          <w:tcPr>
            <w:tcW w:w="2262" w:type="pct"/>
          </w:tcPr>
          <w:p w14:paraId="58FB8116"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hideMark/>
          </w:tcPr>
          <w:p w14:paraId="439408F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(16.92)</w:t>
            </w:r>
          </w:p>
        </w:tc>
        <w:tc>
          <w:tcPr>
            <w:tcW w:w="1369" w:type="pct"/>
            <w:hideMark/>
          </w:tcPr>
          <w:p w14:paraId="21292C7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(40.09)</w:t>
            </w:r>
          </w:p>
        </w:tc>
      </w:tr>
      <w:tr w:rsidR="007679D7" w14:paraId="28E2EBB7" w14:textId="77777777" w:rsidTr="006422B2">
        <w:trPr>
          <w:jc w:val="center"/>
        </w:trPr>
        <w:tc>
          <w:tcPr>
            <w:tcW w:w="2262" w:type="pct"/>
          </w:tcPr>
          <w:p w14:paraId="2A48626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369" w:type="pct"/>
          </w:tcPr>
          <w:p w14:paraId="35F34DD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369" w:type="pct"/>
          </w:tcPr>
          <w:p w14:paraId="51FE6E8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2F325B5" w14:textId="77777777" w:rsidTr="006422B2">
        <w:trPr>
          <w:jc w:val="center"/>
        </w:trPr>
        <w:tc>
          <w:tcPr>
            <w:tcW w:w="2262" w:type="pct"/>
            <w:hideMark/>
          </w:tcPr>
          <w:p w14:paraId="2479879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Observations</w:t>
            </w:r>
          </w:p>
        </w:tc>
        <w:tc>
          <w:tcPr>
            <w:tcW w:w="1369" w:type="pct"/>
            <w:hideMark/>
          </w:tcPr>
          <w:p w14:paraId="6552DFC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1369" w:type="pct"/>
            <w:hideMark/>
          </w:tcPr>
          <w:p w14:paraId="3760ADA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r>
      <w:tr w:rsidR="007679D7" w14:paraId="459FE0A9" w14:textId="77777777" w:rsidTr="006422B2">
        <w:trPr>
          <w:jc w:val="center"/>
        </w:trPr>
        <w:tc>
          <w:tcPr>
            <w:tcW w:w="2262" w:type="pct"/>
            <w:tcBorders>
              <w:top w:val="nil"/>
              <w:left w:val="nil"/>
              <w:bottom w:val="single" w:sz="6" w:space="0" w:color="auto"/>
              <w:right w:val="nil"/>
            </w:tcBorders>
            <w:hideMark/>
          </w:tcPr>
          <w:p w14:paraId="14FA472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R-squared</w:t>
            </w:r>
          </w:p>
        </w:tc>
        <w:tc>
          <w:tcPr>
            <w:tcW w:w="1369" w:type="pct"/>
            <w:tcBorders>
              <w:top w:val="nil"/>
              <w:left w:val="nil"/>
              <w:bottom w:val="single" w:sz="6" w:space="0" w:color="auto"/>
              <w:right w:val="nil"/>
            </w:tcBorders>
            <w:hideMark/>
          </w:tcPr>
          <w:p w14:paraId="6088780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0.648</w:t>
            </w:r>
          </w:p>
        </w:tc>
        <w:tc>
          <w:tcPr>
            <w:tcW w:w="1369" w:type="pct"/>
            <w:tcBorders>
              <w:top w:val="nil"/>
              <w:left w:val="nil"/>
              <w:bottom w:val="single" w:sz="6" w:space="0" w:color="auto"/>
              <w:right w:val="nil"/>
            </w:tcBorders>
            <w:hideMark/>
          </w:tcPr>
          <w:p w14:paraId="6E72CFE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0.824</w:t>
            </w:r>
          </w:p>
        </w:tc>
      </w:tr>
    </w:tbl>
    <w:p w14:paraId="217A8F55" w14:textId="77777777"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Standard errors in parentheses      *** p&lt;0.01, ** p&lt;0.05, * p&lt;0.1</w:t>
      </w:r>
    </w:p>
    <w:p w14:paraId="011E82D4" w14:textId="77777777" w:rsidR="00CB3A1B" w:rsidRDefault="00CB3A1B" w:rsidP="007679D7">
      <w:pPr>
        <w:spacing w:line="360" w:lineRule="auto"/>
        <w:jc w:val="both"/>
        <w:rPr>
          <w:rFonts w:ascii="Times New Roman" w:hAnsi="Times New Roman"/>
          <w:sz w:val="24"/>
          <w:szCs w:val="24"/>
        </w:rPr>
      </w:pPr>
      <w:r w:rsidRPr="00513EFD">
        <w:rPr>
          <w:rFonts w:ascii="Times New Roman" w:hAnsi="Times New Roman"/>
          <w:sz w:val="24"/>
          <w:szCs w:val="24"/>
        </w:rPr>
        <w:t xml:space="preserve">According to the results </w:t>
      </w:r>
      <w:r>
        <w:rPr>
          <w:rFonts w:ascii="Times New Roman" w:hAnsi="Times New Roman"/>
          <w:sz w:val="24"/>
          <w:szCs w:val="24"/>
        </w:rPr>
        <w:t xml:space="preserve">in Table4, </w:t>
      </w:r>
      <w:r w:rsidRPr="00513EFD">
        <w:rPr>
          <w:rFonts w:ascii="Times New Roman" w:hAnsi="Times New Roman"/>
          <w:sz w:val="24"/>
          <w:szCs w:val="24"/>
        </w:rPr>
        <w:t>FDI</w:t>
      </w:r>
      <w:r>
        <w:rPr>
          <w:rFonts w:ascii="Times New Roman" w:hAnsi="Times New Roman"/>
          <w:sz w:val="24"/>
          <w:szCs w:val="24"/>
        </w:rPr>
        <w:t xml:space="preserve"> decrease </w:t>
      </w:r>
      <w:r w:rsidRPr="00513EFD">
        <w:rPr>
          <w:rFonts w:ascii="Times New Roman" w:hAnsi="Times New Roman"/>
          <w:sz w:val="24"/>
          <w:szCs w:val="24"/>
        </w:rPr>
        <w:t xml:space="preserve">GDP in </w:t>
      </w:r>
      <w:r>
        <w:rPr>
          <w:rFonts w:ascii="Times New Roman" w:hAnsi="Times New Roman"/>
          <w:sz w:val="24"/>
          <w:szCs w:val="24"/>
        </w:rPr>
        <w:t>Georgia</w:t>
      </w:r>
      <w:r w:rsidRPr="00513EFD">
        <w:rPr>
          <w:rFonts w:ascii="Times New Roman" w:hAnsi="Times New Roman"/>
          <w:sz w:val="24"/>
          <w:szCs w:val="24"/>
        </w:rPr>
        <w:t xml:space="preserve"> when inflation rates are </w:t>
      </w:r>
      <w:r>
        <w:rPr>
          <w:rFonts w:ascii="Times New Roman" w:hAnsi="Times New Roman"/>
          <w:sz w:val="24"/>
          <w:szCs w:val="24"/>
        </w:rPr>
        <w:t>below 6.19 significant</w:t>
      </w:r>
      <w:r w:rsidRPr="00513EFD">
        <w:rPr>
          <w:rFonts w:ascii="Times New Roman" w:hAnsi="Times New Roman"/>
          <w:sz w:val="24"/>
          <w:szCs w:val="24"/>
        </w:rPr>
        <w:t xml:space="preserve">, </w:t>
      </w:r>
      <w:r>
        <w:rPr>
          <w:rFonts w:ascii="Times New Roman" w:hAnsi="Times New Roman"/>
          <w:sz w:val="24"/>
          <w:szCs w:val="24"/>
        </w:rPr>
        <w:t>but when inflation r</w:t>
      </w:r>
      <w:r w:rsidRPr="00513EFD">
        <w:rPr>
          <w:rFonts w:ascii="Times New Roman" w:hAnsi="Times New Roman"/>
          <w:sz w:val="24"/>
          <w:szCs w:val="24"/>
        </w:rPr>
        <w:t>at</w:t>
      </w:r>
      <w:r>
        <w:rPr>
          <w:rFonts w:ascii="Times New Roman" w:hAnsi="Times New Roman"/>
          <w:sz w:val="24"/>
          <w:szCs w:val="24"/>
        </w:rPr>
        <w:t xml:space="preserve">e is above </w:t>
      </w:r>
      <w:r w:rsidRPr="00513EFD">
        <w:rPr>
          <w:rFonts w:ascii="Times New Roman" w:hAnsi="Times New Roman"/>
          <w:sz w:val="24"/>
          <w:szCs w:val="24"/>
        </w:rPr>
        <w:t xml:space="preserve">threshold value of </w:t>
      </w:r>
      <w:r>
        <w:rPr>
          <w:rFonts w:ascii="Times New Roman" w:hAnsi="Times New Roman"/>
          <w:sz w:val="24"/>
          <w:szCs w:val="24"/>
        </w:rPr>
        <w:t>6.19</w:t>
      </w:r>
      <w:r w:rsidRPr="00513EFD">
        <w:rPr>
          <w:rFonts w:ascii="Times New Roman" w:hAnsi="Times New Roman"/>
          <w:sz w:val="24"/>
          <w:szCs w:val="24"/>
        </w:rPr>
        <w:t>%</w:t>
      </w:r>
      <w:r>
        <w:rPr>
          <w:rFonts w:ascii="Times New Roman" w:hAnsi="Times New Roman"/>
          <w:sz w:val="24"/>
          <w:szCs w:val="24"/>
        </w:rPr>
        <w:t>, FDI negatively and significantly effect on GDP per cap.</w:t>
      </w:r>
      <w:r w:rsidRPr="00513EFD">
        <w:rPr>
          <w:rFonts w:ascii="Times New Roman" w:hAnsi="Times New Roman"/>
          <w:sz w:val="24"/>
          <w:szCs w:val="24"/>
        </w:rPr>
        <w:t xml:space="preserve"> The positive effect of FDI on growth, however, tends to </w:t>
      </w:r>
      <w:r>
        <w:rPr>
          <w:rFonts w:ascii="Times New Roman" w:hAnsi="Times New Roman"/>
          <w:sz w:val="24"/>
          <w:szCs w:val="24"/>
        </w:rPr>
        <w:t>increase</w:t>
      </w:r>
      <w:r w:rsidRPr="00513EFD">
        <w:rPr>
          <w:rFonts w:ascii="Times New Roman" w:hAnsi="Times New Roman"/>
          <w:sz w:val="24"/>
          <w:szCs w:val="24"/>
        </w:rPr>
        <w:t xml:space="preserve"> and might turn negative when inflation </w:t>
      </w:r>
      <w:r>
        <w:rPr>
          <w:rFonts w:ascii="Times New Roman" w:hAnsi="Times New Roman"/>
          <w:sz w:val="24"/>
          <w:szCs w:val="24"/>
        </w:rPr>
        <w:t xml:space="preserve">above the threshold value of </w:t>
      </w:r>
      <w:r w:rsidRPr="00513EFD">
        <w:rPr>
          <w:rFonts w:ascii="Times New Roman" w:hAnsi="Times New Roman"/>
          <w:sz w:val="24"/>
          <w:szCs w:val="24"/>
        </w:rPr>
        <w:t xml:space="preserve">6.19%. This </w:t>
      </w:r>
      <w:r>
        <w:rPr>
          <w:rFonts w:ascii="Times New Roman" w:hAnsi="Times New Roman"/>
          <w:sz w:val="24"/>
          <w:szCs w:val="24"/>
        </w:rPr>
        <w:t>finding is expected increasing</w:t>
      </w:r>
      <w:r w:rsidRPr="00513EFD">
        <w:rPr>
          <w:rFonts w:ascii="Times New Roman" w:hAnsi="Times New Roman"/>
          <w:sz w:val="24"/>
          <w:szCs w:val="24"/>
        </w:rPr>
        <w:t xml:space="preserve"> inflation rates are in a </w:t>
      </w:r>
      <w:r>
        <w:rPr>
          <w:rFonts w:ascii="Times New Roman" w:hAnsi="Times New Roman"/>
          <w:sz w:val="24"/>
          <w:szCs w:val="24"/>
        </w:rPr>
        <w:t>worse</w:t>
      </w:r>
      <w:r w:rsidRPr="00513EFD">
        <w:rPr>
          <w:rFonts w:ascii="Times New Roman" w:hAnsi="Times New Roman"/>
          <w:sz w:val="24"/>
          <w:szCs w:val="24"/>
        </w:rPr>
        <w:t xml:space="preserve"> position to benefit from FDI inflows than those with </w:t>
      </w:r>
      <w:r>
        <w:rPr>
          <w:rFonts w:ascii="Times New Roman" w:hAnsi="Times New Roman"/>
          <w:sz w:val="24"/>
          <w:szCs w:val="24"/>
        </w:rPr>
        <w:t xml:space="preserve">declining </w:t>
      </w:r>
      <w:r w:rsidRPr="00513EFD">
        <w:rPr>
          <w:rFonts w:ascii="Times New Roman" w:hAnsi="Times New Roman"/>
          <w:sz w:val="24"/>
          <w:szCs w:val="24"/>
        </w:rPr>
        <w:t xml:space="preserve">inflation rates. This finding suggests that large amounts of foreign direct investment (FDI) can increase growth rates in </w:t>
      </w:r>
      <w:r>
        <w:rPr>
          <w:rFonts w:ascii="Times New Roman" w:hAnsi="Times New Roman"/>
          <w:sz w:val="24"/>
          <w:szCs w:val="24"/>
        </w:rPr>
        <w:t>low</w:t>
      </w:r>
      <w:r w:rsidRPr="00513EFD">
        <w:rPr>
          <w:rFonts w:ascii="Times New Roman" w:hAnsi="Times New Roman"/>
          <w:sz w:val="24"/>
          <w:szCs w:val="24"/>
        </w:rPr>
        <w:t>-inflation</w:t>
      </w:r>
      <w:r>
        <w:rPr>
          <w:rFonts w:ascii="Times New Roman" w:hAnsi="Times New Roman"/>
          <w:sz w:val="24"/>
          <w:szCs w:val="24"/>
        </w:rPr>
        <w:t xml:space="preserve"> rate</w:t>
      </w:r>
      <w:r w:rsidRPr="00513EFD">
        <w:rPr>
          <w:rFonts w:ascii="Times New Roman" w:hAnsi="Times New Roman"/>
          <w:sz w:val="24"/>
          <w:szCs w:val="24"/>
        </w:rPr>
        <w:t xml:space="preserve">. Bringing in large quantities of FDI without addressing </w:t>
      </w:r>
      <w:r>
        <w:rPr>
          <w:rFonts w:ascii="Times New Roman" w:hAnsi="Times New Roman"/>
          <w:sz w:val="24"/>
          <w:szCs w:val="24"/>
        </w:rPr>
        <w:t xml:space="preserve">low </w:t>
      </w:r>
      <w:r w:rsidRPr="00513EFD">
        <w:rPr>
          <w:rFonts w:ascii="Times New Roman" w:hAnsi="Times New Roman"/>
          <w:sz w:val="24"/>
          <w:szCs w:val="24"/>
        </w:rPr>
        <w:t xml:space="preserve">inflation at home might </w:t>
      </w:r>
      <w:r>
        <w:rPr>
          <w:rFonts w:ascii="Times New Roman" w:hAnsi="Times New Roman"/>
          <w:sz w:val="24"/>
          <w:szCs w:val="24"/>
        </w:rPr>
        <w:t>increase economic growth</w:t>
      </w:r>
      <w:r w:rsidRPr="00513EFD">
        <w:rPr>
          <w:rFonts w:ascii="Times New Roman" w:hAnsi="Times New Roman"/>
          <w:sz w:val="24"/>
          <w:szCs w:val="24"/>
        </w:rPr>
        <w:t xml:space="preserve"> development. Therefore, in order to take advantage of the growth benefits of FDI, it is more sensible to implement policies that aim and achieve moderate levels of inflation before applying pro-FDI measures. As a country's per capita income rises, the correlation between FDI and economic development weakens and finally disappears. This </w:t>
      </w:r>
      <w:r w:rsidRPr="00513EFD">
        <w:rPr>
          <w:rFonts w:ascii="Times New Roman" w:hAnsi="Times New Roman"/>
          <w:sz w:val="24"/>
          <w:szCs w:val="24"/>
        </w:rPr>
        <w:lastRenderedPageBreak/>
        <w:t>occurs when the person's income is more than the predetermined limit. Based on these indicators, it appears that low-income countries</w:t>
      </w:r>
      <w:r>
        <w:rPr>
          <w:rFonts w:ascii="Times New Roman" w:hAnsi="Times New Roman"/>
          <w:sz w:val="24"/>
          <w:szCs w:val="24"/>
        </w:rPr>
        <w:t xml:space="preserve"> like Georgia</w:t>
      </w:r>
      <w:r w:rsidRPr="00513EFD">
        <w:rPr>
          <w:rFonts w:ascii="Times New Roman" w:hAnsi="Times New Roman"/>
          <w:sz w:val="24"/>
          <w:szCs w:val="24"/>
        </w:rPr>
        <w:t xml:space="preserve"> would gain the most from FDI. Since the scale of the effect of FDI on growth is bigger in the low regime than in the high regime, this conclusion also suggests that the relationship between FDI and economic growth is stronger for low-income </w:t>
      </w:r>
      <w:r>
        <w:rPr>
          <w:rFonts w:ascii="Times New Roman" w:hAnsi="Times New Roman"/>
          <w:sz w:val="24"/>
          <w:szCs w:val="24"/>
        </w:rPr>
        <w:t>countries like Georgia.</w:t>
      </w:r>
    </w:p>
    <w:p w14:paraId="60EB08B1" w14:textId="06A19D5C"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 xml:space="preserve">Table 4 The results of Threshold regression </w:t>
      </w:r>
    </w:p>
    <w:tbl>
      <w:tblPr>
        <w:tblW w:w="7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946"/>
        <w:gridCol w:w="2076"/>
        <w:gridCol w:w="1733"/>
        <w:gridCol w:w="1771"/>
      </w:tblGrid>
      <w:tr w:rsidR="007679D7" w14:paraId="46DF4F9C" w14:textId="77777777" w:rsidTr="006422B2">
        <w:trPr>
          <w:trHeight w:val="408"/>
          <w:jc w:val="center"/>
        </w:trPr>
        <w:tc>
          <w:tcPr>
            <w:tcW w:w="1946" w:type="dxa"/>
            <w:tcBorders>
              <w:top w:val="single" w:sz="4" w:space="0" w:color="auto"/>
              <w:left w:val="single" w:sz="4" w:space="0" w:color="auto"/>
              <w:bottom w:val="single" w:sz="4" w:space="0" w:color="auto"/>
              <w:right w:val="single" w:sz="4" w:space="0" w:color="auto"/>
            </w:tcBorders>
          </w:tcPr>
          <w:p w14:paraId="33B95C26"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14:paraId="6910DC3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733" w:type="dxa"/>
            <w:tcBorders>
              <w:top w:val="single" w:sz="4" w:space="0" w:color="auto"/>
              <w:left w:val="single" w:sz="4" w:space="0" w:color="auto"/>
              <w:bottom w:val="single" w:sz="4" w:space="0" w:color="auto"/>
              <w:right w:val="single" w:sz="4" w:space="0" w:color="auto"/>
            </w:tcBorders>
            <w:hideMark/>
          </w:tcPr>
          <w:p w14:paraId="46DD35F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14:paraId="2F6B6A7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7679D7" w14:paraId="0BC9CB15"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hideMark/>
          </w:tcPr>
          <w:p w14:paraId="7FFDF659" w14:textId="77777777" w:rsidR="007679D7" w:rsidRPr="00FD2F8A" w:rsidRDefault="007679D7" w:rsidP="006422B2">
            <w:pPr>
              <w:widowControl w:val="0"/>
              <w:autoSpaceDE w:val="0"/>
              <w:autoSpaceDN w:val="0"/>
              <w:adjustRightInd w:val="0"/>
              <w:spacing w:after="0" w:line="240" w:lineRule="auto"/>
              <w:rPr>
                <w:rFonts w:ascii="Times New Roman" w:hAnsi="Times New Roman"/>
                <w:sz w:val="24"/>
                <w:szCs w:val="24"/>
              </w:rPr>
            </w:pPr>
            <w:r w:rsidRPr="00FD2F8A">
              <w:rPr>
                <w:rFonts w:ascii="Times New Roman" w:hAnsi="Times New Roman"/>
                <w:sz w:val="24"/>
                <w:szCs w:val="24"/>
              </w:rPr>
              <w:t>Threshold values</w:t>
            </w:r>
          </w:p>
        </w:tc>
        <w:tc>
          <w:tcPr>
            <w:tcW w:w="2076" w:type="dxa"/>
            <w:tcBorders>
              <w:top w:val="single" w:sz="4" w:space="0" w:color="auto"/>
              <w:left w:val="single" w:sz="4" w:space="0" w:color="auto"/>
              <w:bottom w:val="single" w:sz="4" w:space="0" w:color="auto"/>
              <w:right w:val="single" w:sz="4" w:space="0" w:color="auto"/>
            </w:tcBorders>
            <w:hideMark/>
          </w:tcPr>
          <w:p w14:paraId="4CE0BD00"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64BF8ED3"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R&lt; 6.19(β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hideMark/>
          </w:tcPr>
          <w:p w14:paraId="23D72F16"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11363131"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R &gt; 6.19(β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hideMark/>
          </w:tcPr>
          <w:p w14:paraId="6709E23D" w14:textId="77777777" w:rsidR="007679D7" w:rsidRPr="00E277A7"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E277A7">
              <w:rPr>
                <w:rFonts w:ascii="Times New Roman" w:hAnsi="Times New Roman"/>
                <w:b/>
                <w:bCs/>
                <w:sz w:val="24"/>
                <w:szCs w:val="24"/>
              </w:rPr>
              <w:t>Differences</w:t>
            </w:r>
          </w:p>
          <w:p w14:paraId="01393C4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sidRPr="00E277A7">
              <w:rPr>
                <w:rFonts w:ascii="Times New Roman" w:hAnsi="Times New Roman"/>
                <w:b/>
                <w:bCs/>
                <w:sz w:val="24"/>
                <w:szCs w:val="24"/>
              </w:rPr>
              <w:t>(β</w:t>
            </w:r>
            <w:r w:rsidRPr="00E277A7">
              <w:rPr>
                <w:rFonts w:ascii="Times New Roman" w:hAnsi="Times New Roman"/>
                <w:b/>
                <w:bCs/>
                <w:sz w:val="24"/>
                <w:szCs w:val="24"/>
                <w:vertAlign w:val="subscript"/>
              </w:rPr>
              <w:t>H</w:t>
            </w:r>
            <w:r w:rsidRPr="00E277A7">
              <w:rPr>
                <w:rFonts w:ascii="Times New Roman" w:hAnsi="Times New Roman"/>
                <w:b/>
                <w:bCs/>
                <w:sz w:val="24"/>
                <w:szCs w:val="24"/>
              </w:rPr>
              <w:t>)- (β</w:t>
            </w:r>
            <w:r w:rsidRPr="00E277A7">
              <w:rPr>
                <w:rFonts w:ascii="Times New Roman" w:hAnsi="Times New Roman"/>
                <w:b/>
                <w:bCs/>
                <w:sz w:val="24"/>
                <w:szCs w:val="24"/>
                <w:vertAlign w:val="subscript"/>
              </w:rPr>
              <w:t>L</w:t>
            </w:r>
            <w:r w:rsidRPr="00E277A7">
              <w:rPr>
                <w:rFonts w:ascii="Times New Roman" w:hAnsi="Times New Roman"/>
                <w:b/>
                <w:bCs/>
                <w:sz w:val="24"/>
                <w:szCs w:val="24"/>
              </w:rPr>
              <w:t>)</w:t>
            </w:r>
          </w:p>
        </w:tc>
      </w:tr>
      <w:tr w:rsidR="007679D7" w14:paraId="5C464CEC"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hideMark/>
          </w:tcPr>
          <w:p w14:paraId="578097F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Inflation</w:t>
            </w:r>
          </w:p>
        </w:tc>
        <w:tc>
          <w:tcPr>
            <w:tcW w:w="2076" w:type="dxa"/>
            <w:tcBorders>
              <w:top w:val="single" w:sz="4" w:space="0" w:color="auto"/>
              <w:left w:val="single" w:sz="4" w:space="0" w:color="auto"/>
              <w:bottom w:val="single" w:sz="4" w:space="0" w:color="auto"/>
              <w:right w:val="single" w:sz="4" w:space="0" w:color="auto"/>
            </w:tcBorders>
            <w:hideMark/>
          </w:tcPr>
          <w:p w14:paraId="7B52613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0.752***</w:t>
            </w:r>
          </w:p>
        </w:tc>
        <w:tc>
          <w:tcPr>
            <w:tcW w:w="1733" w:type="dxa"/>
            <w:tcBorders>
              <w:top w:val="single" w:sz="4" w:space="0" w:color="auto"/>
              <w:left w:val="single" w:sz="4" w:space="0" w:color="auto"/>
              <w:bottom w:val="single" w:sz="4" w:space="0" w:color="auto"/>
              <w:right w:val="single" w:sz="4" w:space="0" w:color="auto"/>
            </w:tcBorders>
            <w:hideMark/>
          </w:tcPr>
          <w:p w14:paraId="2269516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-0.169***</w:t>
            </w:r>
          </w:p>
        </w:tc>
        <w:tc>
          <w:tcPr>
            <w:tcW w:w="1771" w:type="dxa"/>
            <w:tcBorders>
              <w:top w:val="single" w:sz="4" w:space="0" w:color="auto"/>
              <w:left w:val="single" w:sz="4" w:space="0" w:color="auto"/>
              <w:bottom w:val="single" w:sz="4" w:space="0" w:color="auto"/>
              <w:right w:val="single" w:sz="4" w:space="0" w:color="auto"/>
            </w:tcBorders>
          </w:tcPr>
          <w:p w14:paraId="3D64BA2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0.92</w:t>
            </w:r>
          </w:p>
        </w:tc>
      </w:tr>
      <w:tr w:rsidR="007679D7" w14:paraId="473F7CB9"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1001E30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14:paraId="336EA56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(0.163)</w:t>
            </w:r>
          </w:p>
        </w:tc>
        <w:tc>
          <w:tcPr>
            <w:tcW w:w="1733" w:type="dxa"/>
            <w:tcBorders>
              <w:top w:val="single" w:sz="4" w:space="0" w:color="auto"/>
              <w:left w:val="single" w:sz="4" w:space="0" w:color="auto"/>
              <w:bottom w:val="single" w:sz="4" w:space="0" w:color="auto"/>
              <w:right w:val="single" w:sz="4" w:space="0" w:color="auto"/>
            </w:tcBorders>
            <w:hideMark/>
          </w:tcPr>
          <w:p w14:paraId="36CD67C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(0.17)</w:t>
            </w:r>
          </w:p>
        </w:tc>
        <w:tc>
          <w:tcPr>
            <w:tcW w:w="1771" w:type="dxa"/>
            <w:tcBorders>
              <w:top w:val="single" w:sz="4" w:space="0" w:color="auto"/>
              <w:left w:val="single" w:sz="4" w:space="0" w:color="auto"/>
              <w:bottom w:val="single" w:sz="4" w:space="0" w:color="auto"/>
              <w:right w:val="single" w:sz="4" w:space="0" w:color="auto"/>
            </w:tcBorders>
          </w:tcPr>
          <w:p w14:paraId="0112BF3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68AD648F"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9A09ED2"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51F9CCE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7735D7D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67A60F7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711DCBEB"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5EF7B197"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5F64E06B"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3C025EA9"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R&lt; </w:t>
            </w:r>
            <w:r>
              <w:rPr>
                <w:rFonts w:ascii="Times New Roman" w:hAnsi="Times New Roman"/>
                <w:b/>
                <w:bCs/>
                <w:sz w:val="24"/>
                <w:szCs w:val="24"/>
              </w:rPr>
              <w:t>-0.6 %</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41F6418D"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1F3D94FE"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 &gt; </w:t>
            </w:r>
            <w:r>
              <w:rPr>
                <w:rFonts w:ascii="Times New Roman" w:hAnsi="Times New Roman"/>
                <w:b/>
                <w:bCs/>
                <w:sz w:val="24"/>
                <w:szCs w:val="24"/>
              </w:rPr>
              <w:t>-0.6 %</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188994C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01B43514"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hideMark/>
          </w:tcPr>
          <w:p w14:paraId="1F24DB9A"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Population</w:t>
            </w:r>
          </w:p>
        </w:tc>
        <w:tc>
          <w:tcPr>
            <w:tcW w:w="2076" w:type="dxa"/>
            <w:tcBorders>
              <w:top w:val="single" w:sz="4" w:space="0" w:color="auto"/>
              <w:left w:val="single" w:sz="4" w:space="0" w:color="auto"/>
              <w:bottom w:val="single" w:sz="4" w:space="0" w:color="auto"/>
              <w:right w:val="single" w:sz="4" w:space="0" w:color="auto"/>
            </w:tcBorders>
            <w:hideMark/>
          </w:tcPr>
          <w:p w14:paraId="640965B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0.473***</w:t>
            </w:r>
          </w:p>
        </w:tc>
        <w:tc>
          <w:tcPr>
            <w:tcW w:w="1733" w:type="dxa"/>
            <w:tcBorders>
              <w:top w:val="single" w:sz="4" w:space="0" w:color="auto"/>
              <w:left w:val="single" w:sz="4" w:space="0" w:color="auto"/>
              <w:bottom w:val="single" w:sz="4" w:space="0" w:color="auto"/>
              <w:right w:val="single" w:sz="4" w:space="0" w:color="auto"/>
            </w:tcBorders>
            <w:hideMark/>
          </w:tcPr>
          <w:p w14:paraId="578FA48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1.309***</w:t>
            </w:r>
          </w:p>
        </w:tc>
        <w:tc>
          <w:tcPr>
            <w:tcW w:w="1771" w:type="dxa"/>
            <w:tcBorders>
              <w:top w:val="single" w:sz="4" w:space="0" w:color="auto"/>
              <w:left w:val="single" w:sz="4" w:space="0" w:color="auto"/>
              <w:bottom w:val="single" w:sz="4" w:space="0" w:color="auto"/>
              <w:right w:val="single" w:sz="4" w:space="0" w:color="auto"/>
            </w:tcBorders>
          </w:tcPr>
          <w:p w14:paraId="3CA7855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0.836</w:t>
            </w:r>
          </w:p>
        </w:tc>
      </w:tr>
      <w:tr w:rsidR="007679D7" w14:paraId="6F1FC36D"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7964F02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14:paraId="305D97E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(0.120)</w:t>
            </w:r>
          </w:p>
        </w:tc>
        <w:tc>
          <w:tcPr>
            <w:tcW w:w="1733" w:type="dxa"/>
            <w:tcBorders>
              <w:top w:val="single" w:sz="4" w:space="0" w:color="auto"/>
              <w:left w:val="single" w:sz="4" w:space="0" w:color="auto"/>
              <w:bottom w:val="single" w:sz="4" w:space="0" w:color="auto"/>
              <w:right w:val="single" w:sz="4" w:space="0" w:color="auto"/>
            </w:tcBorders>
            <w:hideMark/>
          </w:tcPr>
          <w:p w14:paraId="11996F6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(0.265)</w:t>
            </w:r>
          </w:p>
        </w:tc>
        <w:tc>
          <w:tcPr>
            <w:tcW w:w="1771" w:type="dxa"/>
            <w:tcBorders>
              <w:top w:val="single" w:sz="4" w:space="0" w:color="auto"/>
              <w:left w:val="single" w:sz="4" w:space="0" w:color="auto"/>
              <w:bottom w:val="single" w:sz="4" w:space="0" w:color="auto"/>
              <w:right w:val="single" w:sz="4" w:space="0" w:color="auto"/>
            </w:tcBorders>
          </w:tcPr>
          <w:p w14:paraId="4652BCB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7103E18"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309916D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7C0E4C2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4B8DA09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13574C2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37C4B369"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52AE9B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3A55313A"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714E61CC"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R&lt; </w:t>
            </w:r>
            <w:r>
              <w:rPr>
                <w:rFonts w:ascii="Times New Roman" w:hAnsi="Times New Roman"/>
                <w:b/>
                <w:bCs/>
                <w:sz w:val="24"/>
                <w:szCs w:val="24"/>
              </w:rPr>
              <w:t>50</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670AC63E"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23643189"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 &gt; </w:t>
            </w:r>
            <w:r>
              <w:rPr>
                <w:rFonts w:ascii="Times New Roman" w:hAnsi="Times New Roman"/>
                <w:b/>
                <w:bCs/>
                <w:sz w:val="24"/>
                <w:szCs w:val="24"/>
              </w:rPr>
              <w:t>50</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55CD15A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2FC9620C"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102393C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Human capital</w:t>
            </w:r>
          </w:p>
        </w:tc>
        <w:tc>
          <w:tcPr>
            <w:tcW w:w="2076" w:type="dxa"/>
            <w:tcBorders>
              <w:top w:val="single" w:sz="4" w:space="0" w:color="auto"/>
              <w:left w:val="single" w:sz="4" w:space="0" w:color="auto"/>
              <w:bottom w:val="single" w:sz="4" w:space="0" w:color="auto"/>
              <w:right w:val="single" w:sz="4" w:space="0" w:color="auto"/>
            </w:tcBorders>
          </w:tcPr>
          <w:p w14:paraId="3FE8B12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0.294**</w:t>
            </w:r>
          </w:p>
        </w:tc>
        <w:tc>
          <w:tcPr>
            <w:tcW w:w="1733" w:type="dxa"/>
            <w:tcBorders>
              <w:top w:val="single" w:sz="4" w:space="0" w:color="auto"/>
              <w:left w:val="single" w:sz="4" w:space="0" w:color="auto"/>
              <w:bottom w:val="single" w:sz="4" w:space="0" w:color="auto"/>
              <w:right w:val="single" w:sz="4" w:space="0" w:color="auto"/>
            </w:tcBorders>
          </w:tcPr>
          <w:p w14:paraId="5CDFFA2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3.618***</w:t>
            </w:r>
          </w:p>
        </w:tc>
        <w:tc>
          <w:tcPr>
            <w:tcW w:w="1771" w:type="dxa"/>
            <w:tcBorders>
              <w:top w:val="single" w:sz="4" w:space="0" w:color="auto"/>
              <w:left w:val="single" w:sz="4" w:space="0" w:color="auto"/>
              <w:bottom w:val="single" w:sz="4" w:space="0" w:color="auto"/>
              <w:right w:val="single" w:sz="4" w:space="0" w:color="auto"/>
            </w:tcBorders>
          </w:tcPr>
          <w:p w14:paraId="178DA39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3.316</w:t>
            </w:r>
          </w:p>
        </w:tc>
      </w:tr>
      <w:tr w:rsidR="007679D7" w14:paraId="11F33D32"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5BC334C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6ACDC9D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(0.118)</w:t>
            </w:r>
          </w:p>
        </w:tc>
        <w:tc>
          <w:tcPr>
            <w:tcW w:w="1733" w:type="dxa"/>
            <w:tcBorders>
              <w:top w:val="single" w:sz="4" w:space="0" w:color="auto"/>
              <w:left w:val="single" w:sz="4" w:space="0" w:color="auto"/>
              <w:bottom w:val="single" w:sz="4" w:space="0" w:color="auto"/>
              <w:right w:val="single" w:sz="4" w:space="0" w:color="auto"/>
            </w:tcBorders>
          </w:tcPr>
          <w:p w14:paraId="73C5BC8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(0.487)</w:t>
            </w:r>
          </w:p>
        </w:tc>
        <w:tc>
          <w:tcPr>
            <w:tcW w:w="1771" w:type="dxa"/>
            <w:tcBorders>
              <w:top w:val="single" w:sz="4" w:space="0" w:color="auto"/>
              <w:left w:val="single" w:sz="4" w:space="0" w:color="auto"/>
              <w:bottom w:val="single" w:sz="4" w:space="0" w:color="auto"/>
              <w:right w:val="single" w:sz="4" w:space="0" w:color="auto"/>
            </w:tcBorders>
          </w:tcPr>
          <w:p w14:paraId="03DEB5D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26FD9061"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3B7F683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21CD5FD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EE2A9D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389AD58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DA2977B"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8989CE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41C7FE38"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30707BF1"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R&lt; </w:t>
            </w:r>
            <w:r>
              <w:rPr>
                <w:rFonts w:ascii="Times New Roman" w:hAnsi="Times New Roman"/>
                <w:b/>
                <w:bCs/>
                <w:sz w:val="24"/>
                <w:szCs w:val="24"/>
              </w:rPr>
              <w:t xml:space="preserve">34 </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664F9EF8"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179288CE"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 &gt; </w:t>
            </w:r>
            <w:r>
              <w:rPr>
                <w:rFonts w:ascii="Times New Roman" w:hAnsi="Times New Roman"/>
                <w:b/>
                <w:bCs/>
                <w:sz w:val="24"/>
                <w:szCs w:val="24"/>
              </w:rPr>
              <w:t xml:space="preserve">34 </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6B97123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0BB7FED0"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019A18E3"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Poverty</w:t>
            </w:r>
          </w:p>
        </w:tc>
        <w:tc>
          <w:tcPr>
            <w:tcW w:w="2076" w:type="dxa"/>
          </w:tcPr>
          <w:p w14:paraId="0FB96FB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0.497</w:t>
            </w:r>
          </w:p>
        </w:tc>
        <w:tc>
          <w:tcPr>
            <w:tcW w:w="1733" w:type="dxa"/>
          </w:tcPr>
          <w:p w14:paraId="57FFA29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0.378**</w:t>
            </w:r>
          </w:p>
        </w:tc>
        <w:tc>
          <w:tcPr>
            <w:tcW w:w="1771" w:type="dxa"/>
            <w:tcBorders>
              <w:top w:val="single" w:sz="4" w:space="0" w:color="auto"/>
              <w:left w:val="single" w:sz="4" w:space="0" w:color="auto"/>
              <w:bottom w:val="single" w:sz="4" w:space="0" w:color="auto"/>
              <w:right w:val="single" w:sz="4" w:space="0" w:color="auto"/>
            </w:tcBorders>
          </w:tcPr>
          <w:p w14:paraId="050E2BE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-0.119</w:t>
            </w:r>
          </w:p>
        </w:tc>
      </w:tr>
      <w:tr w:rsidR="007679D7" w14:paraId="418DE7DA"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2CB731A1"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Pr>
          <w:p w14:paraId="0AF7AC9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(0.198)</w:t>
            </w:r>
          </w:p>
        </w:tc>
        <w:tc>
          <w:tcPr>
            <w:tcW w:w="1733" w:type="dxa"/>
          </w:tcPr>
          <w:p w14:paraId="5AA4815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(0.157)</w:t>
            </w:r>
          </w:p>
        </w:tc>
        <w:tc>
          <w:tcPr>
            <w:tcW w:w="1771" w:type="dxa"/>
            <w:tcBorders>
              <w:top w:val="single" w:sz="4" w:space="0" w:color="auto"/>
              <w:left w:val="single" w:sz="4" w:space="0" w:color="auto"/>
              <w:bottom w:val="single" w:sz="4" w:space="0" w:color="auto"/>
              <w:right w:val="single" w:sz="4" w:space="0" w:color="auto"/>
            </w:tcBorders>
          </w:tcPr>
          <w:p w14:paraId="740366D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45E33594"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7C047F9E"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53A0C00A"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8F4325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B3C5DB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316ECAAC"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388B4648"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521417FD"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67E92AF6"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R&lt; </w:t>
            </w:r>
            <w:r>
              <w:rPr>
                <w:rFonts w:ascii="Times New Roman" w:hAnsi="Times New Roman"/>
                <w:b/>
                <w:bCs/>
                <w:sz w:val="24"/>
                <w:szCs w:val="24"/>
              </w:rPr>
              <w:t>52</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77220857"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6FA6DDCD"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 &gt; </w:t>
            </w:r>
            <w:r>
              <w:rPr>
                <w:rFonts w:ascii="Times New Roman" w:hAnsi="Times New Roman"/>
                <w:b/>
                <w:bCs/>
                <w:sz w:val="24"/>
                <w:szCs w:val="24"/>
              </w:rPr>
              <w:t>52</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6F97E66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EE0E2FC"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0261E67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Institual index</w:t>
            </w:r>
          </w:p>
        </w:tc>
        <w:tc>
          <w:tcPr>
            <w:tcW w:w="2076" w:type="dxa"/>
          </w:tcPr>
          <w:p w14:paraId="00D2ABF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0.371**</w:t>
            </w:r>
          </w:p>
        </w:tc>
        <w:tc>
          <w:tcPr>
            <w:tcW w:w="1733" w:type="dxa"/>
          </w:tcPr>
          <w:p w14:paraId="2D1AC7B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0.587***</w:t>
            </w:r>
          </w:p>
        </w:tc>
        <w:tc>
          <w:tcPr>
            <w:tcW w:w="1771" w:type="dxa"/>
            <w:tcBorders>
              <w:top w:val="single" w:sz="4" w:space="0" w:color="auto"/>
              <w:left w:val="single" w:sz="4" w:space="0" w:color="auto"/>
              <w:bottom w:val="single" w:sz="4" w:space="0" w:color="auto"/>
              <w:right w:val="single" w:sz="4" w:space="0" w:color="auto"/>
            </w:tcBorders>
          </w:tcPr>
          <w:p w14:paraId="776CAAC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0.216</w:t>
            </w:r>
          </w:p>
        </w:tc>
      </w:tr>
      <w:tr w:rsidR="007679D7" w14:paraId="5604BA21"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3470A67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Pr>
          <w:p w14:paraId="60AE7FD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(0.161)</w:t>
            </w:r>
          </w:p>
        </w:tc>
        <w:tc>
          <w:tcPr>
            <w:tcW w:w="1733" w:type="dxa"/>
          </w:tcPr>
          <w:p w14:paraId="216C255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(0.184)</w:t>
            </w:r>
          </w:p>
        </w:tc>
        <w:tc>
          <w:tcPr>
            <w:tcW w:w="1771" w:type="dxa"/>
            <w:tcBorders>
              <w:top w:val="single" w:sz="4" w:space="0" w:color="auto"/>
              <w:left w:val="single" w:sz="4" w:space="0" w:color="auto"/>
              <w:bottom w:val="single" w:sz="4" w:space="0" w:color="auto"/>
              <w:right w:val="single" w:sz="4" w:space="0" w:color="auto"/>
            </w:tcBorders>
          </w:tcPr>
          <w:p w14:paraId="4CE05AB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04812494"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0E655ECE"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61F2BE0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38701CE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011C36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30E3401E"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964E80D"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5F2733F4"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7E0113CB"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R&lt; 6.1</w:t>
            </w:r>
            <w:r>
              <w:rPr>
                <w:rFonts w:ascii="Times New Roman" w:hAnsi="Times New Roman"/>
                <w:b/>
                <w:bCs/>
                <w:sz w:val="24"/>
                <w:szCs w:val="24"/>
              </w:rPr>
              <w:t>7</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0A615221"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5298675F"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R &gt; 6.1</w:t>
            </w:r>
            <w:r>
              <w:rPr>
                <w:rFonts w:ascii="Times New Roman" w:hAnsi="Times New Roman"/>
                <w:b/>
                <w:bCs/>
                <w:sz w:val="24"/>
                <w:szCs w:val="24"/>
              </w:rPr>
              <w:t>7</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3BC287D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4ABA1779"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191F8B07"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Trade openness</w:t>
            </w:r>
          </w:p>
        </w:tc>
        <w:tc>
          <w:tcPr>
            <w:tcW w:w="2076" w:type="dxa"/>
          </w:tcPr>
          <w:p w14:paraId="6A2553F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-0.757</w:t>
            </w:r>
          </w:p>
        </w:tc>
        <w:tc>
          <w:tcPr>
            <w:tcW w:w="1733" w:type="dxa"/>
          </w:tcPr>
          <w:p w14:paraId="3514504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0.279</w:t>
            </w:r>
          </w:p>
        </w:tc>
        <w:tc>
          <w:tcPr>
            <w:tcW w:w="1771" w:type="dxa"/>
            <w:tcBorders>
              <w:top w:val="single" w:sz="4" w:space="0" w:color="auto"/>
              <w:left w:val="single" w:sz="4" w:space="0" w:color="auto"/>
              <w:bottom w:val="single" w:sz="4" w:space="0" w:color="auto"/>
              <w:right w:val="single" w:sz="4" w:space="0" w:color="auto"/>
            </w:tcBorders>
          </w:tcPr>
          <w:p w14:paraId="67588A2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1.03</w:t>
            </w:r>
          </w:p>
        </w:tc>
      </w:tr>
      <w:tr w:rsidR="007679D7" w14:paraId="45FBF5F6"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023541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Pr>
          <w:p w14:paraId="465E267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(0.526)</w:t>
            </w:r>
          </w:p>
        </w:tc>
        <w:tc>
          <w:tcPr>
            <w:tcW w:w="1733" w:type="dxa"/>
          </w:tcPr>
          <w:p w14:paraId="24F56AF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(0.189)</w:t>
            </w:r>
          </w:p>
        </w:tc>
        <w:tc>
          <w:tcPr>
            <w:tcW w:w="1771" w:type="dxa"/>
            <w:tcBorders>
              <w:top w:val="single" w:sz="4" w:space="0" w:color="auto"/>
              <w:left w:val="single" w:sz="4" w:space="0" w:color="auto"/>
              <w:bottom w:val="single" w:sz="4" w:space="0" w:color="auto"/>
              <w:right w:val="single" w:sz="4" w:space="0" w:color="auto"/>
            </w:tcBorders>
          </w:tcPr>
          <w:p w14:paraId="7616064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32F1C052"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6E17B74E"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1EE01C7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6B158F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2CAE39F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56E39265"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7F6BE79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69A0C24E"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574B0F90"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R&lt; </w:t>
            </w:r>
            <w:r>
              <w:rPr>
                <w:rFonts w:ascii="Times New Roman" w:hAnsi="Times New Roman"/>
                <w:b/>
                <w:bCs/>
                <w:sz w:val="24"/>
                <w:szCs w:val="24"/>
              </w:rPr>
              <w:t>48</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1733" w:type="dxa"/>
            <w:tcBorders>
              <w:top w:val="single" w:sz="4" w:space="0" w:color="auto"/>
              <w:left w:val="single" w:sz="4" w:space="0" w:color="auto"/>
              <w:bottom w:val="single" w:sz="4" w:space="0" w:color="auto"/>
              <w:right w:val="single" w:sz="4" w:space="0" w:color="auto"/>
            </w:tcBorders>
          </w:tcPr>
          <w:p w14:paraId="75A0F05C"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3A31EC96"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 xml:space="preserve">R &gt; </w:t>
            </w:r>
            <w:r>
              <w:rPr>
                <w:rFonts w:ascii="Times New Roman" w:hAnsi="Times New Roman"/>
                <w:b/>
                <w:bCs/>
                <w:sz w:val="24"/>
                <w:szCs w:val="24"/>
              </w:rPr>
              <w:t>48</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c>
          <w:tcPr>
            <w:tcW w:w="1771" w:type="dxa"/>
            <w:tcBorders>
              <w:top w:val="single" w:sz="4" w:space="0" w:color="auto"/>
              <w:left w:val="single" w:sz="4" w:space="0" w:color="auto"/>
              <w:bottom w:val="single" w:sz="4" w:space="0" w:color="auto"/>
              <w:right w:val="single" w:sz="4" w:space="0" w:color="auto"/>
            </w:tcBorders>
          </w:tcPr>
          <w:p w14:paraId="284E176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4F0C12D9"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7374025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Private sector dev.</w:t>
            </w:r>
          </w:p>
        </w:tc>
        <w:tc>
          <w:tcPr>
            <w:tcW w:w="2076" w:type="dxa"/>
          </w:tcPr>
          <w:p w14:paraId="448A685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0.290**</w:t>
            </w:r>
          </w:p>
        </w:tc>
        <w:tc>
          <w:tcPr>
            <w:tcW w:w="1733" w:type="dxa"/>
          </w:tcPr>
          <w:p w14:paraId="0CD0EBE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3.525***</w:t>
            </w:r>
          </w:p>
        </w:tc>
        <w:tc>
          <w:tcPr>
            <w:tcW w:w="1771" w:type="dxa"/>
            <w:tcBorders>
              <w:top w:val="single" w:sz="4" w:space="0" w:color="auto"/>
              <w:left w:val="single" w:sz="4" w:space="0" w:color="auto"/>
              <w:bottom w:val="single" w:sz="4" w:space="0" w:color="auto"/>
              <w:right w:val="single" w:sz="4" w:space="0" w:color="auto"/>
            </w:tcBorders>
          </w:tcPr>
          <w:p w14:paraId="45F7D0A5"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3.25</w:t>
            </w:r>
          </w:p>
        </w:tc>
      </w:tr>
      <w:tr w:rsidR="007679D7" w14:paraId="2588E44F"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tcPr>
          <w:p w14:paraId="1D3BDE8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2076" w:type="dxa"/>
          </w:tcPr>
          <w:p w14:paraId="1CD5D19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(0.119)</w:t>
            </w:r>
          </w:p>
        </w:tc>
        <w:tc>
          <w:tcPr>
            <w:tcW w:w="1733" w:type="dxa"/>
          </w:tcPr>
          <w:p w14:paraId="51D760A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(0.478)</w:t>
            </w:r>
          </w:p>
        </w:tc>
        <w:tc>
          <w:tcPr>
            <w:tcW w:w="1771" w:type="dxa"/>
            <w:tcBorders>
              <w:top w:val="single" w:sz="4" w:space="0" w:color="auto"/>
              <w:left w:val="single" w:sz="4" w:space="0" w:color="auto"/>
              <w:bottom w:val="single" w:sz="4" w:space="0" w:color="auto"/>
              <w:right w:val="single" w:sz="4" w:space="0" w:color="auto"/>
            </w:tcBorders>
          </w:tcPr>
          <w:p w14:paraId="4EA4DB9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6A003C7A" w14:textId="77777777" w:rsidTr="006422B2">
        <w:trPr>
          <w:jc w:val="center"/>
        </w:trPr>
        <w:tc>
          <w:tcPr>
            <w:tcW w:w="1946" w:type="dxa"/>
            <w:tcBorders>
              <w:top w:val="single" w:sz="4" w:space="0" w:color="auto"/>
              <w:left w:val="single" w:sz="4" w:space="0" w:color="auto"/>
              <w:bottom w:val="single" w:sz="4" w:space="0" w:color="auto"/>
              <w:right w:val="single" w:sz="4" w:space="0" w:color="auto"/>
            </w:tcBorders>
            <w:hideMark/>
          </w:tcPr>
          <w:p w14:paraId="0FAB63D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Observations</w:t>
            </w:r>
          </w:p>
        </w:tc>
        <w:tc>
          <w:tcPr>
            <w:tcW w:w="2076" w:type="dxa"/>
            <w:tcBorders>
              <w:top w:val="single" w:sz="4" w:space="0" w:color="auto"/>
              <w:left w:val="single" w:sz="4" w:space="0" w:color="auto"/>
              <w:bottom w:val="single" w:sz="4" w:space="0" w:color="auto"/>
              <w:right w:val="single" w:sz="4" w:space="0" w:color="auto"/>
            </w:tcBorders>
            <w:hideMark/>
          </w:tcPr>
          <w:p w14:paraId="3D232C3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1733" w:type="dxa"/>
            <w:tcBorders>
              <w:top w:val="single" w:sz="4" w:space="0" w:color="auto"/>
              <w:left w:val="single" w:sz="4" w:space="0" w:color="auto"/>
              <w:bottom w:val="single" w:sz="4" w:space="0" w:color="auto"/>
              <w:right w:val="single" w:sz="4" w:space="0" w:color="auto"/>
            </w:tcBorders>
            <w:hideMark/>
          </w:tcPr>
          <w:p w14:paraId="096326E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c>
          <w:tcPr>
            <w:tcW w:w="1771" w:type="dxa"/>
            <w:tcBorders>
              <w:top w:val="single" w:sz="4" w:space="0" w:color="auto"/>
              <w:left w:val="single" w:sz="4" w:space="0" w:color="auto"/>
              <w:bottom w:val="single" w:sz="4" w:space="0" w:color="auto"/>
              <w:right w:val="single" w:sz="4" w:space="0" w:color="auto"/>
            </w:tcBorders>
            <w:hideMark/>
          </w:tcPr>
          <w:p w14:paraId="3BD809E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w:t>
            </w:r>
          </w:p>
        </w:tc>
      </w:tr>
    </w:tbl>
    <w:p w14:paraId="261D0D8E" w14:textId="77777777" w:rsidR="007679D7" w:rsidRDefault="007679D7" w:rsidP="007679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Standard errors in parentheses      *** p&lt;0.01, ** p&lt;0.05, * p&lt;0.1</w:t>
      </w:r>
    </w:p>
    <w:p w14:paraId="19362041" w14:textId="77777777" w:rsidR="007679D7" w:rsidRPr="00A138DC" w:rsidRDefault="007679D7" w:rsidP="007679D7">
      <w:pPr>
        <w:spacing w:line="360" w:lineRule="auto"/>
        <w:jc w:val="both"/>
        <w:rPr>
          <w:rFonts w:ascii="Times New Roman" w:hAnsi="Times New Roman"/>
          <w:sz w:val="24"/>
          <w:szCs w:val="24"/>
        </w:rPr>
      </w:pPr>
      <w:r w:rsidRPr="00A138DC">
        <w:rPr>
          <w:rFonts w:ascii="Times New Roman" w:hAnsi="Times New Roman"/>
          <w:sz w:val="24"/>
          <w:szCs w:val="24"/>
        </w:rPr>
        <w:t>The relative importance of human capital, openness, and population growth on the relationship between FDI and growth is calculated in rows</w:t>
      </w:r>
      <w:r>
        <w:rPr>
          <w:rFonts w:ascii="Times New Roman" w:hAnsi="Times New Roman"/>
          <w:sz w:val="24"/>
          <w:szCs w:val="24"/>
        </w:rPr>
        <w:t xml:space="preserve"> of second and </w:t>
      </w:r>
      <w:r w:rsidRPr="00A138DC">
        <w:rPr>
          <w:rFonts w:ascii="Times New Roman" w:hAnsi="Times New Roman"/>
          <w:sz w:val="24"/>
          <w:szCs w:val="24"/>
        </w:rPr>
        <w:t xml:space="preserve">three through </w:t>
      </w:r>
      <w:r>
        <w:rPr>
          <w:rFonts w:ascii="Times New Roman" w:hAnsi="Times New Roman"/>
          <w:sz w:val="24"/>
          <w:szCs w:val="24"/>
        </w:rPr>
        <w:t>seven</w:t>
      </w:r>
      <w:r w:rsidRPr="00A138DC">
        <w:rPr>
          <w:rFonts w:ascii="Times New Roman" w:hAnsi="Times New Roman"/>
          <w:sz w:val="24"/>
          <w:szCs w:val="24"/>
        </w:rPr>
        <w:t xml:space="preserve"> </w:t>
      </w:r>
      <w:r>
        <w:rPr>
          <w:rFonts w:ascii="Times New Roman" w:hAnsi="Times New Roman"/>
          <w:sz w:val="24"/>
          <w:szCs w:val="24"/>
        </w:rPr>
        <w:t>in table 4</w:t>
      </w:r>
      <w:r w:rsidRPr="00A138DC">
        <w:rPr>
          <w:rFonts w:ascii="Times New Roman" w:hAnsi="Times New Roman"/>
          <w:sz w:val="24"/>
          <w:szCs w:val="24"/>
        </w:rPr>
        <w:t xml:space="preserve">. Human capital statistics suggest that a threshold of </w:t>
      </w:r>
      <w:r>
        <w:rPr>
          <w:rFonts w:ascii="Times New Roman" w:hAnsi="Times New Roman"/>
          <w:sz w:val="24"/>
          <w:szCs w:val="24"/>
        </w:rPr>
        <w:t>above 50</w:t>
      </w:r>
      <w:r w:rsidRPr="00A138DC">
        <w:rPr>
          <w:rFonts w:ascii="Times New Roman" w:hAnsi="Times New Roman"/>
          <w:sz w:val="24"/>
          <w:szCs w:val="24"/>
        </w:rPr>
        <w:t xml:space="preserve"> is </w:t>
      </w:r>
      <w:r>
        <w:rPr>
          <w:rFonts w:ascii="Times New Roman" w:hAnsi="Times New Roman"/>
          <w:sz w:val="24"/>
          <w:szCs w:val="24"/>
        </w:rPr>
        <w:t>affecting strongly and significantly on growth of economy. So as human capital index increases, FDI effect is stronger on GDP per cap.</w:t>
      </w:r>
      <w:r w:rsidRPr="00A138DC">
        <w:rPr>
          <w:rFonts w:ascii="Times New Roman" w:hAnsi="Times New Roman"/>
          <w:sz w:val="24"/>
          <w:szCs w:val="24"/>
        </w:rPr>
        <w:t xml:space="preserve"> Under this threshold, FDI is unable to stimulate economic expansion.</w:t>
      </w:r>
      <w:r>
        <w:rPr>
          <w:rFonts w:ascii="Times New Roman" w:hAnsi="Times New Roman"/>
          <w:sz w:val="24"/>
          <w:szCs w:val="24"/>
        </w:rPr>
        <w:t xml:space="preserve"> The result of </w:t>
      </w:r>
      <w:r w:rsidRPr="00A138DC">
        <w:rPr>
          <w:rFonts w:ascii="Times New Roman" w:hAnsi="Times New Roman"/>
          <w:sz w:val="24"/>
          <w:szCs w:val="24"/>
        </w:rPr>
        <w:t>find</w:t>
      </w:r>
      <w:r>
        <w:rPr>
          <w:rFonts w:ascii="Times New Roman" w:hAnsi="Times New Roman"/>
          <w:sz w:val="24"/>
          <w:szCs w:val="24"/>
        </w:rPr>
        <w:t>ings shows</w:t>
      </w:r>
      <w:r w:rsidRPr="00A138DC">
        <w:rPr>
          <w:rFonts w:ascii="Times New Roman" w:hAnsi="Times New Roman"/>
          <w:sz w:val="24"/>
          <w:szCs w:val="24"/>
        </w:rPr>
        <w:t xml:space="preserve"> evidence that FDI can boost development only if the </w:t>
      </w:r>
      <w:r>
        <w:rPr>
          <w:rFonts w:ascii="Times New Roman" w:hAnsi="Times New Roman"/>
          <w:sz w:val="24"/>
          <w:szCs w:val="24"/>
        </w:rPr>
        <w:t>human capital is reaching above 50. Because</w:t>
      </w:r>
      <w:r w:rsidRPr="00A138DC">
        <w:rPr>
          <w:rFonts w:ascii="Times New Roman" w:hAnsi="Times New Roman"/>
          <w:sz w:val="24"/>
          <w:szCs w:val="24"/>
        </w:rPr>
        <w:t xml:space="preserve"> foreign direct investment (FDI) is shown to boost economic growth in </w:t>
      </w:r>
      <w:r>
        <w:rPr>
          <w:rFonts w:ascii="Times New Roman" w:hAnsi="Times New Roman"/>
          <w:sz w:val="24"/>
          <w:szCs w:val="24"/>
        </w:rPr>
        <w:t>Georgia</w:t>
      </w:r>
      <w:r w:rsidRPr="00A138DC">
        <w:rPr>
          <w:rFonts w:ascii="Times New Roman" w:hAnsi="Times New Roman"/>
          <w:sz w:val="24"/>
          <w:szCs w:val="24"/>
        </w:rPr>
        <w:t xml:space="preserve"> with human capital in the high threshold regime, human capital in the host country influences the FDI-growth relationship.</w:t>
      </w:r>
      <w:r>
        <w:rPr>
          <w:rFonts w:ascii="Times New Roman" w:hAnsi="Times New Roman"/>
          <w:sz w:val="24"/>
          <w:szCs w:val="24"/>
        </w:rPr>
        <w:t xml:space="preserve"> This result is consistent with the findings of Bornstein</w:t>
      </w:r>
      <w:r w:rsidRPr="00A138DC">
        <w:rPr>
          <w:rFonts w:ascii="Times New Roman" w:hAnsi="Times New Roman"/>
          <w:sz w:val="24"/>
          <w:szCs w:val="24"/>
        </w:rPr>
        <w:t xml:space="preserve"> et al. (1998)</w:t>
      </w:r>
      <w:r>
        <w:rPr>
          <w:rFonts w:ascii="Times New Roman" w:hAnsi="Times New Roman"/>
          <w:sz w:val="24"/>
          <w:szCs w:val="24"/>
        </w:rPr>
        <w:t>.</w:t>
      </w:r>
    </w:p>
    <w:p w14:paraId="4C802F5C" w14:textId="77777777" w:rsidR="007679D7" w:rsidRDefault="007679D7" w:rsidP="007679D7">
      <w:pPr>
        <w:spacing w:line="360" w:lineRule="auto"/>
        <w:jc w:val="both"/>
        <w:rPr>
          <w:rFonts w:ascii="Times New Roman" w:hAnsi="Times New Roman"/>
          <w:sz w:val="24"/>
          <w:szCs w:val="24"/>
        </w:rPr>
      </w:pPr>
      <w:r w:rsidRPr="009E069D">
        <w:rPr>
          <w:rFonts w:ascii="Times New Roman" w:hAnsi="Times New Roman"/>
          <w:sz w:val="24"/>
          <w:szCs w:val="24"/>
        </w:rPr>
        <w:t>When private sector credit is at</w:t>
      </w:r>
      <w:r>
        <w:rPr>
          <w:rFonts w:ascii="Times New Roman" w:hAnsi="Times New Roman"/>
          <w:sz w:val="24"/>
          <w:szCs w:val="24"/>
        </w:rPr>
        <w:t xml:space="preserve"> above 48 </w:t>
      </w:r>
      <w:r w:rsidRPr="009E069D">
        <w:rPr>
          <w:rFonts w:ascii="Times New Roman" w:hAnsi="Times New Roman"/>
          <w:sz w:val="24"/>
          <w:szCs w:val="24"/>
        </w:rPr>
        <w:t>or less, the positive coefficient of 0.</w:t>
      </w:r>
      <w:r>
        <w:rPr>
          <w:rFonts w:ascii="Times New Roman" w:hAnsi="Times New Roman"/>
          <w:sz w:val="24"/>
          <w:szCs w:val="24"/>
        </w:rPr>
        <w:t xml:space="preserve">29 and 3.52 </w:t>
      </w:r>
      <w:r w:rsidRPr="009E069D">
        <w:rPr>
          <w:rFonts w:ascii="Times New Roman" w:hAnsi="Times New Roman"/>
          <w:sz w:val="24"/>
          <w:szCs w:val="24"/>
        </w:rPr>
        <w:t>suggests a positive</w:t>
      </w:r>
      <w:r>
        <w:rPr>
          <w:rFonts w:ascii="Times New Roman" w:hAnsi="Times New Roman"/>
          <w:sz w:val="24"/>
          <w:szCs w:val="24"/>
        </w:rPr>
        <w:t xml:space="preserve"> and significant</w:t>
      </w:r>
      <w:r w:rsidRPr="009E069D">
        <w:rPr>
          <w:rFonts w:ascii="Times New Roman" w:hAnsi="Times New Roman"/>
          <w:sz w:val="24"/>
          <w:szCs w:val="24"/>
        </w:rPr>
        <w:t xml:space="preserve"> relationship between FDI and economic growth. However, when private sector credit is </w:t>
      </w:r>
      <w:r>
        <w:rPr>
          <w:rFonts w:ascii="Times New Roman" w:hAnsi="Times New Roman"/>
          <w:sz w:val="24"/>
          <w:szCs w:val="24"/>
        </w:rPr>
        <w:t>above 48</w:t>
      </w:r>
      <w:r w:rsidRPr="009E069D">
        <w:rPr>
          <w:rFonts w:ascii="Times New Roman" w:hAnsi="Times New Roman"/>
          <w:sz w:val="24"/>
          <w:szCs w:val="24"/>
        </w:rPr>
        <w:t xml:space="preserve"> percent or more, the coefficient becomes </w:t>
      </w:r>
      <w:r>
        <w:rPr>
          <w:rFonts w:ascii="Times New Roman" w:hAnsi="Times New Roman"/>
          <w:sz w:val="24"/>
          <w:szCs w:val="24"/>
        </w:rPr>
        <w:t>stronger</w:t>
      </w:r>
      <w:r w:rsidRPr="009E069D">
        <w:rPr>
          <w:rFonts w:ascii="Times New Roman" w:hAnsi="Times New Roman"/>
          <w:sz w:val="24"/>
          <w:szCs w:val="24"/>
        </w:rPr>
        <w:t xml:space="preserve"> and insignificant, indicating either FDI has impact on growth or the impact is </w:t>
      </w:r>
      <w:r>
        <w:rPr>
          <w:rFonts w:ascii="Times New Roman" w:hAnsi="Times New Roman"/>
          <w:sz w:val="24"/>
          <w:szCs w:val="24"/>
        </w:rPr>
        <w:t>positive</w:t>
      </w:r>
      <w:r w:rsidRPr="009E069D">
        <w:rPr>
          <w:rFonts w:ascii="Times New Roman" w:hAnsi="Times New Roman"/>
          <w:sz w:val="24"/>
          <w:szCs w:val="24"/>
        </w:rPr>
        <w:t xml:space="preserve">. This implies that private sector credit over the anticipated threshold level may actually </w:t>
      </w:r>
      <w:r>
        <w:rPr>
          <w:rFonts w:ascii="Times New Roman" w:hAnsi="Times New Roman"/>
          <w:sz w:val="24"/>
          <w:szCs w:val="24"/>
        </w:rPr>
        <w:t>increase</w:t>
      </w:r>
      <w:r w:rsidRPr="009E069D">
        <w:rPr>
          <w:rFonts w:ascii="Times New Roman" w:hAnsi="Times New Roman"/>
          <w:sz w:val="24"/>
          <w:szCs w:val="24"/>
        </w:rPr>
        <w:t xml:space="preserve"> efficiency and result in the effect of FDI on growth turning </w:t>
      </w:r>
      <w:r>
        <w:rPr>
          <w:rFonts w:ascii="Times New Roman" w:hAnsi="Times New Roman"/>
          <w:sz w:val="24"/>
          <w:szCs w:val="24"/>
        </w:rPr>
        <w:t>positive</w:t>
      </w:r>
      <w:r w:rsidRPr="009E069D">
        <w:rPr>
          <w:rFonts w:ascii="Times New Roman" w:hAnsi="Times New Roman"/>
          <w:sz w:val="24"/>
          <w:szCs w:val="24"/>
        </w:rPr>
        <w:t xml:space="preserve"> in </w:t>
      </w:r>
      <w:r>
        <w:rPr>
          <w:rFonts w:ascii="Times New Roman" w:hAnsi="Times New Roman"/>
          <w:sz w:val="24"/>
          <w:szCs w:val="24"/>
        </w:rPr>
        <w:t>Georgia</w:t>
      </w:r>
      <w:r w:rsidRPr="009E069D">
        <w:rPr>
          <w:rFonts w:ascii="Times New Roman" w:hAnsi="Times New Roman"/>
          <w:sz w:val="24"/>
          <w:szCs w:val="24"/>
        </w:rPr>
        <w:t xml:space="preserve">, indicating that the effectiveness of the financial system, rather than its size, may be more significant. </w:t>
      </w:r>
      <w:r>
        <w:rPr>
          <w:rFonts w:ascii="Times New Roman" w:hAnsi="Times New Roman"/>
          <w:sz w:val="24"/>
          <w:szCs w:val="24"/>
        </w:rPr>
        <w:t xml:space="preserve">Georgia </w:t>
      </w:r>
      <w:r w:rsidRPr="009E069D">
        <w:rPr>
          <w:rFonts w:ascii="Times New Roman" w:hAnsi="Times New Roman"/>
          <w:sz w:val="24"/>
          <w:szCs w:val="24"/>
        </w:rPr>
        <w:t xml:space="preserve">should take prudence when making loans to the private sector, </w:t>
      </w:r>
      <w:r>
        <w:rPr>
          <w:rFonts w:ascii="Times New Roman" w:hAnsi="Times New Roman"/>
          <w:sz w:val="24"/>
          <w:szCs w:val="24"/>
        </w:rPr>
        <w:t xml:space="preserve">as </w:t>
      </w:r>
      <w:r w:rsidRPr="009E069D">
        <w:rPr>
          <w:rFonts w:ascii="Times New Roman" w:hAnsi="Times New Roman"/>
          <w:sz w:val="24"/>
          <w:szCs w:val="24"/>
        </w:rPr>
        <w:t>find</w:t>
      </w:r>
      <w:r>
        <w:rPr>
          <w:rFonts w:ascii="Times New Roman" w:hAnsi="Times New Roman"/>
          <w:sz w:val="24"/>
          <w:szCs w:val="24"/>
        </w:rPr>
        <w:t>ings illustrates</w:t>
      </w:r>
      <w:r w:rsidRPr="009E069D">
        <w:rPr>
          <w:rFonts w:ascii="Times New Roman" w:hAnsi="Times New Roman"/>
          <w:sz w:val="24"/>
          <w:szCs w:val="24"/>
        </w:rPr>
        <w:t xml:space="preserve">. </w:t>
      </w:r>
    </w:p>
    <w:p w14:paraId="6CA5BCC7" w14:textId="77777777" w:rsidR="007679D7" w:rsidRPr="00A138DC" w:rsidRDefault="007679D7" w:rsidP="007679D7">
      <w:pPr>
        <w:spacing w:line="360" w:lineRule="auto"/>
        <w:jc w:val="both"/>
        <w:rPr>
          <w:rFonts w:ascii="Times New Roman" w:hAnsi="Times New Roman"/>
          <w:sz w:val="24"/>
          <w:szCs w:val="24"/>
        </w:rPr>
      </w:pPr>
      <w:r w:rsidRPr="00A138DC">
        <w:rPr>
          <w:rFonts w:ascii="Times New Roman" w:hAnsi="Times New Roman"/>
          <w:sz w:val="24"/>
          <w:szCs w:val="24"/>
        </w:rPr>
        <w:t xml:space="preserve">Our results for </w:t>
      </w:r>
      <w:r>
        <w:rPr>
          <w:rFonts w:ascii="Times New Roman" w:hAnsi="Times New Roman"/>
          <w:sz w:val="24"/>
          <w:szCs w:val="24"/>
        </w:rPr>
        <w:t xml:space="preserve">trade </w:t>
      </w:r>
      <w:r w:rsidRPr="00A138DC">
        <w:rPr>
          <w:rFonts w:ascii="Times New Roman" w:hAnsi="Times New Roman"/>
          <w:sz w:val="24"/>
          <w:szCs w:val="24"/>
        </w:rPr>
        <w:t xml:space="preserve">openness suggest that certain checks and balances must still be in place if FDI is to be growth-enhancing, even when high openness is advised. </w:t>
      </w:r>
      <w:r>
        <w:rPr>
          <w:rFonts w:ascii="Times New Roman" w:hAnsi="Times New Roman"/>
          <w:sz w:val="24"/>
          <w:szCs w:val="24"/>
        </w:rPr>
        <w:t>I</w:t>
      </w:r>
      <w:r w:rsidRPr="00A138DC">
        <w:rPr>
          <w:rFonts w:ascii="Times New Roman" w:hAnsi="Times New Roman"/>
          <w:sz w:val="24"/>
          <w:szCs w:val="24"/>
        </w:rPr>
        <w:t xml:space="preserve"> find that openness over the projected threshold value of </w:t>
      </w:r>
      <w:r>
        <w:rPr>
          <w:rFonts w:ascii="Times New Roman" w:hAnsi="Times New Roman"/>
          <w:sz w:val="24"/>
          <w:szCs w:val="24"/>
        </w:rPr>
        <w:t>6.17</w:t>
      </w:r>
      <w:r w:rsidRPr="00A138DC">
        <w:rPr>
          <w:rFonts w:ascii="Times New Roman" w:hAnsi="Times New Roman"/>
          <w:sz w:val="24"/>
          <w:szCs w:val="24"/>
        </w:rPr>
        <w:t xml:space="preserve"> percent </w:t>
      </w:r>
      <w:r>
        <w:rPr>
          <w:rFonts w:ascii="Times New Roman" w:hAnsi="Times New Roman"/>
          <w:sz w:val="24"/>
          <w:szCs w:val="24"/>
        </w:rPr>
        <w:t xml:space="preserve">doesn’t </w:t>
      </w:r>
      <w:r w:rsidRPr="00A138DC">
        <w:rPr>
          <w:rFonts w:ascii="Times New Roman" w:hAnsi="Times New Roman"/>
          <w:sz w:val="24"/>
          <w:szCs w:val="24"/>
        </w:rPr>
        <w:t>sustain the growth-enhancing impacts of FDI since the coefficient of the effect of FDI on growth, although positive</w:t>
      </w:r>
      <w:r>
        <w:rPr>
          <w:rFonts w:ascii="Times New Roman" w:hAnsi="Times New Roman"/>
          <w:sz w:val="24"/>
          <w:szCs w:val="24"/>
        </w:rPr>
        <w:t xml:space="preserve"> but not significant</w:t>
      </w:r>
      <w:r w:rsidRPr="00A138DC">
        <w:rPr>
          <w:rFonts w:ascii="Times New Roman" w:hAnsi="Times New Roman"/>
          <w:sz w:val="24"/>
          <w:szCs w:val="24"/>
        </w:rPr>
        <w:t xml:space="preserve">, when openness </w:t>
      </w:r>
      <w:r>
        <w:rPr>
          <w:rFonts w:ascii="Times New Roman" w:hAnsi="Times New Roman"/>
          <w:sz w:val="24"/>
          <w:szCs w:val="24"/>
        </w:rPr>
        <w:t xml:space="preserve">is below or above the threshold of 6.17 percent. My thesis </w:t>
      </w:r>
      <w:r w:rsidRPr="00A138DC">
        <w:rPr>
          <w:rFonts w:ascii="Times New Roman" w:hAnsi="Times New Roman"/>
          <w:sz w:val="24"/>
          <w:szCs w:val="24"/>
        </w:rPr>
        <w:t>investigates</w:t>
      </w:r>
      <w:r>
        <w:rPr>
          <w:rFonts w:ascii="Times New Roman" w:hAnsi="Times New Roman"/>
          <w:sz w:val="24"/>
          <w:szCs w:val="24"/>
        </w:rPr>
        <w:t xml:space="preserve"> also</w:t>
      </w:r>
      <w:r w:rsidRPr="00A138DC">
        <w:rPr>
          <w:rFonts w:ascii="Times New Roman" w:hAnsi="Times New Roman"/>
          <w:sz w:val="24"/>
          <w:szCs w:val="24"/>
        </w:rPr>
        <w:t xml:space="preserve"> if population increase in </w:t>
      </w:r>
      <w:r>
        <w:rPr>
          <w:rFonts w:ascii="Times New Roman" w:hAnsi="Times New Roman"/>
          <w:sz w:val="24"/>
          <w:szCs w:val="24"/>
        </w:rPr>
        <w:t xml:space="preserve">Georgia </w:t>
      </w:r>
      <w:r w:rsidRPr="00A138DC">
        <w:rPr>
          <w:rFonts w:ascii="Times New Roman" w:hAnsi="Times New Roman"/>
          <w:sz w:val="24"/>
          <w:szCs w:val="24"/>
        </w:rPr>
        <w:t xml:space="preserve">influences the relationship between FDI and growth. So far, the research has neglected the contingent role that population increase may play, regardless of whether such a role is good. In recent decades, there has been widespread conviction that rapid population expansion is detrimental to economic development (see Heady and Hodge, 2009). As a consequence, it remains unclear how population expansion influences the impact of FDI on economic development. </w:t>
      </w:r>
      <w:r>
        <w:rPr>
          <w:rFonts w:ascii="Times New Roman" w:hAnsi="Times New Roman"/>
          <w:sz w:val="24"/>
          <w:szCs w:val="24"/>
        </w:rPr>
        <w:t>My</w:t>
      </w:r>
      <w:r w:rsidRPr="00A138DC">
        <w:rPr>
          <w:rFonts w:ascii="Times New Roman" w:hAnsi="Times New Roman"/>
          <w:sz w:val="24"/>
          <w:szCs w:val="24"/>
        </w:rPr>
        <w:t xml:space="preserve"> results suggest that when population growth </w:t>
      </w:r>
      <w:r>
        <w:rPr>
          <w:rFonts w:ascii="Times New Roman" w:hAnsi="Times New Roman"/>
          <w:sz w:val="24"/>
          <w:szCs w:val="24"/>
        </w:rPr>
        <w:t>decrease</w:t>
      </w:r>
      <w:r w:rsidRPr="00A138DC">
        <w:rPr>
          <w:rFonts w:ascii="Times New Roman" w:hAnsi="Times New Roman"/>
          <w:sz w:val="24"/>
          <w:szCs w:val="24"/>
        </w:rPr>
        <w:t xml:space="preserve"> an estimated </w:t>
      </w:r>
      <w:r>
        <w:rPr>
          <w:rFonts w:ascii="Times New Roman" w:hAnsi="Times New Roman"/>
          <w:sz w:val="24"/>
          <w:szCs w:val="24"/>
        </w:rPr>
        <w:t>0.6</w:t>
      </w:r>
      <w:r w:rsidRPr="00A138DC">
        <w:rPr>
          <w:rFonts w:ascii="Times New Roman" w:hAnsi="Times New Roman"/>
          <w:sz w:val="24"/>
          <w:szCs w:val="24"/>
        </w:rPr>
        <w:t xml:space="preserve"> percent threshold, FDI has a positive influence on economic development. For population growth below this level, the effect of FDI on growth is </w:t>
      </w:r>
      <w:r>
        <w:rPr>
          <w:rFonts w:ascii="Times New Roman" w:hAnsi="Times New Roman"/>
          <w:sz w:val="24"/>
          <w:szCs w:val="24"/>
        </w:rPr>
        <w:t>even positive and stronger</w:t>
      </w:r>
      <w:r w:rsidRPr="00A138DC">
        <w:rPr>
          <w:rFonts w:ascii="Times New Roman" w:hAnsi="Times New Roman"/>
          <w:sz w:val="24"/>
          <w:szCs w:val="24"/>
        </w:rPr>
        <w:t xml:space="preserve">. As a result, population </w:t>
      </w:r>
      <w:r>
        <w:rPr>
          <w:rFonts w:ascii="Times New Roman" w:hAnsi="Times New Roman"/>
          <w:sz w:val="24"/>
          <w:szCs w:val="24"/>
        </w:rPr>
        <w:t>decrease</w:t>
      </w:r>
      <w:r w:rsidRPr="00A138DC">
        <w:rPr>
          <w:rFonts w:ascii="Times New Roman" w:hAnsi="Times New Roman"/>
          <w:sz w:val="24"/>
          <w:szCs w:val="24"/>
        </w:rPr>
        <w:t xml:space="preserve"> improves the relationship between FDI and growth in SSA. In order to capitalize on the growth benefits of FDI, the </w:t>
      </w:r>
      <w:r>
        <w:rPr>
          <w:rFonts w:ascii="Times New Roman" w:hAnsi="Times New Roman"/>
          <w:sz w:val="24"/>
          <w:szCs w:val="24"/>
        </w:rPr>
        <w:t>low</w:t>
      </w:r>
      <w:r w:rsidRPr="00A138DC">
        <w:rPr>
          <w:rFonts w:ascii="Times New Roman" w:hAnsi="Times New Roman"/>
          <w:sz w:val="24"/>
          <w:szCs w:val="24"/>
        </w:rPr>
        <w:t xml:space="preserve"> population expansion in </w:t>
      </w:r>
      <w:r>
        <w:rPr>
          <w:rFonts w:ascii="Times New Roman" w:hAnsi="Times New Roman"/>
          <w:sz w:val="24"/>
          <w:szCs w:val="24"/>
        </w:rPr>
        <w:t>Georgia</w:t>
      </w:r>
      <w:r w:rsidRPr="00A138DC">
        <w:rPr>
          <w:rFonts w:ascii="Times New Roman" w:hAnsi="Times New Roman"/>
          <w:sz w:val="24"/>
          <w:szCs w:val="24"/>
        </w:rPr>
        <w:t xml:space="preserve"> may be seen as a strength rather than a disadvantage.</w:t>
      </w:r>
    </w:p>
    <w:p w14:paraId="2D480EC3" w14:textId="77777777" w:rsidR="007679D7" w:rsidRPr="00A138DC" w:rsidRDefault="007679D7" w:rsidP="007679D7">
      <w:pPr>
        <w:spacing w:line="360" w:lineRule="auto"/>
        <w:jc w:val="both"/>
        <w:rPr>
          <w:rFonts w:ascii="Times New Roman" w:hAnsi="Times New Roman"/>
          <w:sz w:val="24"/>
          <w:szCs w:val="24"/>
        </w:rPr>
      </w:pPr>
      <w:r>
        <w:rPr>
          <w:rFonts w:ascii="Times New Roman" w:hAnsi="Times New Roman"/>
          <w:sz w:val="24"/>
          <w:szCs w:val="24"/>
        </w:rPr>
        <w:lastRenderedPageBreak/>
        <w:t>Finally, increase in poverty enhances relation nexus of GDP per cap and FDI growth. The threshold of 34 is above, the poverty is positive and significant. In the same construct, Institutional quality increase the FDI effect on GDP per cap. It transvalues is above 52, its coefficient and significancy increase as well.</w:t>
      </w:r>
    </w:p>
    <w:p w14:paraId="406B1B0B" w14:textId="77777777" w:rsidR="007679D7" w:rsidRPr="00D7116B" w:rsidRDefault="007679D7" w:rsidP="007679D7">
      <w:pPr>
        <w:spacing w:line="360" w:lineRule="auto"/>
        <w:jc w:val="both"/>
        <w:rPr>
          <w:rFonts w:ascii="Times New Roman" w:hAnsi="Times New Roman"/>
          <w:sz w:val="24"/>
          <w:szCs w:val="24"/>
        </w:rPr>
      </w:pPr>
      <w:r w:rsidRPr="00D7116B">
        <w:rPr>
          <w:rFonts w:ascii="Times New Roman" w:hAnsi="Times New Roman"/>
          <w:sz w:val="24"/>
          <w:szCs w:val="24"/>
        </w:rPr>
        <w:t xml:space="preserve">However, when </w:t>
      </w:r>
      <w:r>
        <w:rPr>
          <w:rFonts w:ascii="Times New Roman" w:hAnsi="Times New Roman"/>
          <w:sz w:val="24"/>
          <w:szCs w:val="24"/>
        </w:rPr>
        <w:t>human capital</w:t>
      </w:r>
      <w:r w:rsidRPr="00D7116B">
        <w:rPr>
          <w:rFonts w:ascii="Times New Roman" w:hAnsi="Times New Roman"/>
          <w:sz w:val="24"/>
          <w:szCs w:val="24"/>
        </w:rPr>
        <w:t xml:space="preserve"> and private sector credit are </w:t>
      </w:r>
      <w:r>
        <w:rPr>
          <w:rFonts w:ascii="Times New Roman" w:hAnsi="Times New Roman"/>
          <w:sz w:val="24"/>
          <w:szCs w:val="24"/>
        </w:rPr>
        <w:t>above</w:t>
      </w:r>
      <w:r w:rsidRPr="00D7116B">
        <w:rPr>
          <w:rFonts w:ascii="Times New Roman" w:hAnsi="Times New Roman"/>
          <w:sz w:val="24"/>
          <w:szCs w:val="24"/>
        </w:rPr>
        <w:t xml:space="preserve"> their thresholds and when </w:t>
      </w:r>
      <w:r>
        <w:rPr>
          <w:rFonts w:ascii="Times New Roman" w:hAnsi="Times New Roman"/>
          <w:sz w:val="24"/>
          <w:szCs w:val="24"/>
        </w:rPr>
        <w:t>inflation</w:t>
      </w:r>
      <w:r w:rsidRPr="00D7116B">
        <w:rPr>
          <w:rFonts w:ascii="Times New Roman" w:hAnsi="Times New Roman"/>
          <w:sz w:val="24"/>
          <w:szCs w:val="24"/>
        </w:rPr>
        <w:t xml:space="preserve"> and population growth are </w:t>
      </w:r>
      <w:r>
        <w:rPr>
          <w:rFonts w:ascii="Times New Roman" w:hAnsi="Times New Roman"/>
          <w:sz w:val="24"/>
          <w:szCs w:val="24"/>
        </w:rPr>
        <w:t>below</w:t>
      </w:r>
      <w:r w:rsidRPr="00D7116B">
        <w:rPr>
          <w:rFonts w:ascii="Times New Roman" w:hAnsi="Times New Roman"/>
          <w:sz w:val="24"/>
          <w:szCs w:val="24"/>
        </w:rPr>
        <w:t xml:space="preserve"> their thresholds, FDI increases growth in </w:t>
      </w:r>
      <w:r>
        <w:rPr>
          <w:rFonts w:ascii="Times New Roman" w:hAnsi="Times New Roman"/>
          <w:sz w:val="24"/>
          <w:szCs w:val="24"/>
        </w:rPr>
        <w:t>Georgia</w:t>
      </w:r>
      <w:r w:rsidRPr="00D7116B">
        <w:rPr>
          <w:rFonts w:ascii="Times New Roman" w:hAnsi="Times New Roman"/>
          <w:sz w:val="24"/>
          <w:szCs w:val="24"/>
        </w:rPr>
        <w:t xml:space="preserve">. This is the most consistent finding in the threshold analysis of the FDI-growth nexus, which provides some consensus in </w:t>
      </w:r>
      <w:r>
        <w:rPr>
          <w:rFonts w:ascii="Times New Roman" w:hAnsi="Times New Roman"/>
          <w:sz w:val="24"/>
          <w:szCs w:val="24"/>
        </w:rPr>
        <w:t>table 4</w:t>
      </w:r>
      <w:r w:rsidRPr="00D7116B">
        <w:rPr>
          <w:rFonts w:ascii="Times New Roman" w:hAnsi="Times New Roman"/>
          <w:sz w:val="24"/>
          <w:szCs w:val="24"/>
        </w:rPr>
        <w:t xml:space="preserve"> as to where the results largely agree. The findings that are robust or qualitatively unchanging are of more importance in determining the consistent finding, as they provide sufficient evidence or confirmation that the inferences or conclusions produced are more likely to be believable. </w:t>
      </w:r>
    </w:p>
    <w:p w14:paraId="5B956998" w14:textId="283252B3"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 xml:space="preserve">Table 5 Threshold result as lag of FDI </w:t>
      </w:r>
    </w:p>
    <w:tbl>
      <w:tblPr>
        <w:tblW w:w="5000" w:type="pct"/>
        <w:jc w:val="center"/>
        <w:tblCellMar>
          <w:left w:w="75" w:type="dxa"/>
          <w:right w:w="75" w:type="dxa"/>
        </w:tblCellMar>
        <w:tblLook w:val="04A0" w:firstRow="1" w:lastRow="0" w:firstColumn="1" w:lastColumn="0" w:noHBand="0" w:noVBand="1"/>
      </w:tblPr>
      <w:tblGrid>
        <w:gridCol w:w="3455"/>
        <w:gridCol w:w="2554"/>
        <w:gridCol w:w="4529"/>
      </w:tblGrid>
      <w:tr w:rsidR="007679D7" w14:paraId="2B02DD16" w14:textId="77777777" w:rsidTr="006422B2">
        <w:trPr>
          <w:jc w:val="center"/>
        </w:trPr>
        <w:tc>
          <w:tcPr>
            <w:tcW w:w="1639" w:type="pct"/>
            <w:tcBorders>
              <w:top w:val="single" w:sz="6" w:space="0" w:color="auto"/>
              <w:left w:val="nil"/>
              <w:bottom w:val="nil"/>
              <w:right w:val="nil"/>
            </w:tcBorders>
          </w:tcPr>
          <w:p w14:paraId="0E00D51F"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tcBorders>
              <w:top w:val="single" w:sz="6" w:space="0" w:color="auto"/>
              <w:left w:val="nil"/>
              <w:bottom w:val="nil"/>
              <w:right w:val="nil"/>
            </w:tcBorders>
          </w:tcPr>
          <w:p w14:paraId="50FCC520"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Low Regime</w:t>
            </w:r>
          </w:p>
          <w:p w14:paraId="0C2345A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sidRPr="0077278F">
              <w:rPr>
                <w:rFonts w:ascii="Times New Roman" w:hAnsi="Times New Roman"/>
                <w:b/>
                <w:bCs/>
                <w:sz w:val="24"/>
                <w:szCs w:val="24"/>
              </w:rPr>
              <w:t xml:space="preserve">R&lt; </w:t>
            </w:r>
            <w:r>
              <w:rPr>
                <w:rFonts w:ascii="Times New Roman" w:hAnsi="Times New Roman"/>
                <w:b/>
                <w:bCs/>
                <w:sz w:val="24"/>
                <w:szCs w:val="24"/>
              </w:rPr>
              <w:t>-0.13</w:t>
            </w:r>
            <w:r w:rsidRPr="0077278F">
              <w:rPr>
                <w:rFonts w:ascii="Times New Roman" w:hAnsi="Times New Roman"/>
                <w:b/>
                <w:bCs/>
                <w:sz w:val="24"/>
                <w:szCs w:val="24"/>
              </w:rPr>
              <w:t>(β</w:t>
            </w:r>
            <w:r w:rsidRPr="0077278F">
              <w:rPr>
                <w:rFonts w:ascii="Times New Roman" w:hAnsi="Times New Roman"/>
                <w:b/>
                <w:bCs/>
                <w:sz w:val="24"/>
                <w:szCs w:val="24"/>
                <w:vertAlign w:val="subscript"/>
              </w:rPr>
              <w:t>L</w:t>
            </w:r>
            <w:r w:rsidRPr="0077278F">
              <w:rPr>
                <w:rFonts w:ascii="Times New Roman" w:hAnsi="Times New Roman"/>
                <w:b/>
                <w:bCs/>
                <w:sz w:val="24"/>
                <w:szCs w:val="24"/>
              </w:rPr>
              <w:t>)</w:t>
            </w:r>
          </w:p>
        </w:tc>
        <w:tc>
          <w:tcPr>
            <w:tcW w:w="2149" w:type="pct"/>
            <w:tcBorders>
              <w:top w:val="single" w:sz="6" w:space="0" w:color="auto"/>
              <w:left w:val="nil"/>
              <w:bottom w:val="nil"/>
              <w:right w:val="nil"/>
            </w:tcBorders>
          </w:tcPr>
          <w:p w14:paraId="4034CAA6" w14:textId="77777777" w:rsidR="007679D7" w:rsidRPr="0077278F" w:rsidRDefault="007679D7" w:rsidP="006422B2">
            <w:pPr>
              <w:widowControl w:val="0"/>
              <w:autoSpaceDE w:val="0"/>
              <w:autoSpaceDN w:val="0"/>
              <w:adjustRightInd w:val="0"/>
              <w:spacing w:after="0" w:line="240" w:lineRule="auto"/>
              <w:jc w:val="center"/>
              <w:rPr>
                <w:rFonts w:ascii="Times New Roman" w:hAnsi="Times New Roman"/>
                <w:b/>
                <w:bCs/>
                <w:sz w:val="24"/>
                <w:szCs w:val="24"/>
              </w:rPr>
            </w:pPr>
            <w:r w:rsidRPr="0077278F">
              <w:rPr>
                <w:rFonts w:ascii="Times New Roman" w:hAnsi="Times New Roman"/>
                <w:b/>
                <w:bCs/>
                <w:sz w:val="24"/>
                <w:szCs w:val="24"/>
              </w:rPr>
              <w:t>High Regime</w:t>
            </w:r>
          </w:p>
          <w:p w14:paraId="444F231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sidRPr="0077278F">
              <w:rPr>
                <w:rFonts w:ascii="Times New Roman" w:hAnsi="Times New Roman"/>
                <w:b/>
                <w:bCs/>
                <w:sz w:val="24"/>
                <w:szCs w:val="24"/>
              </w:rPr>
              <w:t xml:space="preserve">R &gt; </w:t>
            </w:r>
            <w:r>
              <w:rPr>
                <w:rFonts w:ascii="Times New Roman" w:hAnsi="Times New Roman"/>
                <w:b/>
                <w:bCs/>
                <w:sz w:val="24"/>
                <w:szCs w:val="24"/>
              </w:rPr>
              <w:t>-0.13</w:t>
            </w:r>
            <w:r w:rsidRPr="0077278F">
              <w:rPr>
                <w:rFonts w:ascii="Times New Roman" w:hAnsi="Times New Roman"/>
                <w:b/>
                <w:bCs/>
                <w:sz w:val="24"/>
                <w:szCs w:val="24"/>
              </w:rPr>
              <w:t>(β</w:t>
            </w:r>
            <w:r w:rsidRPr="0077278F">
              <w:rPr>
                <w:rFonts w:ascii="Times New Roman" w:hAnsi="Times New Roman"/>
                <w:b/>
                <w:bCs/>
                <w:sz w:val="24"/>
                <w:szCs w:val="24"/>
                <w:vertAlign w:val="subscript"/>
              </w:rPr>
              <w:t>H</w:t>
            </w:r>
            <w:r w:rsidRPr="0077278F">
              <w:rPr>
                <w:rFonts w:ascii="Times New Roman" w:hAnsi="Times New Roman"/>
                <w:b/>
                <w:bCs/>
                <w:sz w:val="24"/>
                <w:szCs w:val="24"/>
              </w:rPr>
              <w:t>)</w:t>
            </w:r>
          </w:p>
        </w:tc>
      </w:tr>
      <w:tr w:rsidR="007679D7" w14:paraId="06907D90" w14:textId="77777777" w:rsidTr="006422B2">
        <w:trPr>
          <w:jc w:val="center"/>
        </w:trPr>
        <w:tc>
          <w:tcPr>
            <w:tcW w:w="1639" w:type="pct"/>
            <w:tcBorders>
              <w:top w:val="nil"/>
              <w:left w:val="nil"/>
              <w:bottom w:val="single" w:sz="6" w:space="0" w:color="auto"/>
              <w:right w:val="nil"/>
            </w:tcBorders>
            <w:hideMark/>
          </w:tcPr>
          <w:p w14:paraId="27E86EC2"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VARIABLES</w:t>
            </w:r>
          </w:p>
        </w:tc>
        <w:tc>
          <w:tcPr>
            <w:tcW w:w="1212" w:type="pct"/>
            <w:tcBorders>
              <w:top w:val="nil"/>
              <w:left w:val="nil"/>
              <w:bottom w:val="single" w:sz="6" w:space="0" w:color="auto"/>
              <w:right w:val="nil"/>
            </w:tcBorders>
          </w:tcPr>
          <w:p w14:paraId="1AEDD32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2149" w:type="pct"/>
            <w:tcBorders>
              <w:top w:val="nil"/>
              <w:left w:val="nil"/>
              <w:bottom w:val="single" w:sz="6" w:space="0" w:color="auto"/>
              <w:right w:val="nil"/>
            </w:tcBorders>
          </w:tcPr>
          <w:p w14:paraId="30CB693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16A832D4" w14:textId="77777777" w:rsidTr="006422B2">
        <w:trPr>
          <w:jc w:val="center"/>
        </w:trPr>
        <w:tc>
          <w:tcPr>
            <w:tcW w:w="1639" w:type="pct"/>
          </w:tcPr>
          <w:p w14:paraId="702DA63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tcPr>
          <w:p w14:paraId="224EB94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2149" w:type="pct"/>
          </w:tcPr>
          <w:p w14:paraId="41272AF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570208B9" w14:textId="77777777" w:rsidTr="006422B2">
        <w:trPr>
          <w:jc w:val="center"/>
        </w:trPr>
        <w:tc>
          <w:tcPr>
            <w:tcW w:w="1639" w:type="pct"/>
            <w:hideMark/>
          </w:tcPr>
          <w:p w14:paraId="4DB2B479"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FDI</w:t>
            </w:r>
          </w:p>
        </w:tc>
        <w:tc>
          <w:tcPr>
            <w:tcW w:w="1212" w:type="pct"/>
            <w:hideMark/>
          </w:tcPr>
          <w:p w14:paraId="5BC26E68"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-0.475</w:t>
            </w:r>
          </w:p>
        </w:tc>
        <w:tc>
          <w:tcPr>
            <w:tcW w:w="2149" w:type="pct"/>
            <w:hideMark/>
          </w:tcPr>
          <w:p w14:paraId="4D126D90"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-0.304</w:t>
            </w:r>
          </w:p>
        </w:tc>
      </w:tr>
      <w:tr w:rsidR="007679D7" w14:paraId="256E814A" w14:textId="77777777" w:rsidTr="006422B2">
        <w:trPr>
          <w:jc w:val="center"/>
        </w:trPr>
        <w:tc>
          <w:tcPr>
            <w:tcW w:w="1639" w:type="pct"/>
          </w:tcPr>
          <w:p w14:paraId="04159221"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hideMark/>
          </w:tcPr>
          <w:p w14:paraId="4A93A53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(0.289)</w:t>
            </w:r>
          </w:p>
        </w:tc>
        <w:tc>
          <w:tcPr>
            <w:tcW w:w="2149" w:type="pct"/>
            <w:hideMark/>
          </w:tcPr>
          <w:p w14:paraId="1D356B9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(0.206)</w:t>
            </w:r>
          </w:p>
        </w:tc>
      </w:tr>
      <w:tr w:rsidR="007679D7" w14:paraId="118805B6" w14:textId="77777777" w:rsidTr="006422B2">
        <w:trPr>
          <w:jc w:val="center"/>
        </w:trPr>
        <w:tc>
          <w:tcPr>
            <w:tcW w:w="1639" w:type="pct"/>
            <w:hideMark/>
          </w:tcPr>
          <w:p w14:paraId="1B62B526"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Debt</w:t>
            </w:r>
          </w:p>
        </w:tc>
        <w:tc>
          <w:tcPr>
            <w:tcW w:w="1212" w:type="pct"/>
            <w:hideMark/>
          </w:tcPr>
          <w:p w14:paraId="34CC2E4C"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-0.595***</w:t>
            </w:r>
          </w:p>
        </w:tc>
        <w:tc>
          <w:tcPr>
            <w:tcW w:w="2149" w:type="pct"/>
            <w:hideMark/>
          </w:tcPr>
          <w:p w14:paraId="1818FBF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-0.307***</w:t>
            </w:r>
          </w:p>
        </w:tc>
      </w:tr>
      <w:tr w:rsidR="007679D7" w14:paraId="67F195CD" w14:textId="77777777" w:rsidTr="006422B2">
        <w:trPr>
          <w:jc w:val="center"/>
        </w:trPr>
        <w:tc>
          <w:tcPr>
            <w:tcW w:w="1639" w:type="pct"/>
          </w:tcPr>
          <w:p w14:paraId="2A4FC0B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hideMark/>
          </w:tcPr>
          <w:p w14:paraId="50A08BF6"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(0.111)</w:t>
            </w:r>
          </w:p>
        </w:tc>
        <w:tc>
          <w:tcPr>
            <w:tcW w:w="2149" w:type="pct"/>
            <w:hideMark/>
          </w:tcPr>
          <w:p w14:paraId="3A263CA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(0.0757)</w:t>
            </w:r>
          </w:p>
        </w:tc>
      </w:tr>
      <w:tr w:rsidR="007679D7" w14:paraId="61EB8A06" w14:textId="77777777" w:rsidTr="006422B2">
        <w:trPr>
          <w:jc w:val="center"/>
        </w:trPr>
        <w:tc>
          <w:tcPr>
            <w:tcW w:w="1639" w:type="pct"/>
            <w:hideMark/>
          </w:tcPr>
          <w:p w14:paraId="3A0CD016"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Unemployment</w:t>
            </w:r>
          </w:p>
        </w:tc>
        <w:tc>
          <w:tcPr>
            <w:tcW w:w="1212" w:type="pct"/>
            <w:hideMark/>
          </w:tcPr>
          <w:p w14:paraId="1897A413"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-1.355***</w:t>
            </w:r>
          </w:p>
        </w:tc>
        <w:tc>
          <w:tcPr>
            <w:tcW w:w="2149" w:type="pct"/>
            <w:hideMark/>
          </w:tcPr>
          <w:p w14:paraId="0C7E3CB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-1.098***</w:t>
            </w:r>
          </w:p>
        </w:tc>
      </w:tr>
      <w:tr w:rsidR="007679D7" w14:paraId="17D3F571" w14:textId="77777777" w:rsidTr="006422B2">
        <w:trPr>
          <w:jc w:val="center"/>
        </w:trPr>
        <w:tc>
          <w:tcPr>
            <w:tcW w:w="1639" w:type="pct"/>
          </w:tcPr>
          <w:p w14:paraId="241AF0B5"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hideMark/>
          </w:tcPr>
          <w:p w14:paraId="38911224"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(0.309)</w:t>
            </w:r>
          </w:p>
        </w:tc>
        <w:tc>
          <w:tcPr>
            <w:tcW w:w="2149" w:type="pct"/>
            <w:hideMark/>
          </w:tcPr>
          <w:p w14:paraId="3071C65F"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(0.223)</w:t>
            </w:r>
          </w:p>
        </w:tc>
      </w:tr>
      <w:tr w:rsidR="007679D7" w14:paraId="6364A7BE" w14:textId="77777777" w:rsidTr="006422B2">
        <w:trPr>
          <w:jc w:val="center"/>
        </w:trPr>
        <w:tc>
          <w:tcPr>
            <w:tcW w:w="1639" w:type="pct"/>
            <w:hideMark/>
          </w:tcPr>
          <w:p w14:paraId="397BBC1B"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Constant</w:t>
            </w:r>
          </w:p>
        </w:tc>
        <w:tc>
          <w:tcPr>
            <w:tcW w:w="1212" w:type="pct"/>
            <w:hideMark/>
          </w:tcPr>
          <w:p w14:paraId="5AEC194B"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50.06***</w:t>
            </w:r>
          </w:p>
        </w:tc>
        <w:tc>
          <w:tcPr>
            <w:tcW w:w="2149" w:type="pct"/>
            <w:hideMark/>
          </w:tcPr>
          <w:p w14:paraId="2E934902"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38.02***</w:t>
            </w:r>
          </w:p>
        </w:tc>
      </w:tr>
      <w:tr w:rsidR="007679D7" w14:paraId="4720CF42" w14:textId="77777777" w:rsidTr="006422B2">
        <w:trPr>
          <w:jc w:val="center"/>
        </w:trPr>
        <w:tc>
          <w:tcPr>
            <w:tcW w:w="1639" w:type="pct"/>
          </w:tcPr>
          <w:p w14:paraId="278411F2"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hideMark/>
          </w:tcPr>
          <w:p w14:paraId="10B1364D"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(10.49)</w:t>
            </w:r>
          </w:p>
        </w:tc>
        <w:tc>
          <w:tcPr>
            <w:tcW w:w="2149" w:type="pct"/>
            <w:hideMark/>
          </w:tcPr>
          <w:p w14:paraId="797CE31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(7.217)</w:t>
            </w:r>
          </w:p>
        </w:tc>
      </w:tr>
      <w:tr w:rsidR="007679D7" w14:paraId="3B043AED" w14:textId="77777777" w:rsidTr="006422B2">
        <w:trPr>
          <w:jc w:val="center"/>
        </w:trPr>
        <w:tc>
          <w:tcPr>
            <w:tcW w:w="1639" w:type="pct"/>
          </w:tcPr>
          <w:p w14:paraId="50BBF204"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p>
        </w:tc>
        <w:tc>
          <w:tcPr>
            <w:tcW w:w="1212" w:type="pct"/>
          </w:tcPr>
          <w:p w14:paraId="55405187"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c>
          <w:tcPr>
            <w:tcW w:w="2149" w:type="pct"/>
          </w:tcPr>
          <w:p w14:paraId="1F848C39"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p>
        </w:tc>
      </w:tr>
      <w:tr w:rsidR="007679D7" w14:paraId="0B263C53" w14:textId="77777777" w:rsidTr="006422B2">
        <w:trPr>
          <w:jc w:val="center"/>
        </w:trPr>
        <w:tc>
          <w:tcPr>
            <w:tcW w:w="1639" w:type="pct"/>
            <w:tcBorders>
              <w:top w:val="nil"/>
              <w:left w:val="nil"/>
              <w:bottom w:val="single" w:sz="6" w:space="0" w:color="auto"/>
              <w:right w:val="nil"/>
            </w:tcBorders>
            <w:hideMark/>
          </w:tcPr>
          <w:p w14:paraId="2C55763B" w14:textId="77777777" w:rsidR="007679D7" w:rsidRDefault="007679D7" w:rsidP="006422B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Observations</w:t>
            </w:r>
          </w:p>
        </w:tc>
        <w:tc>
          <w:tcPr>
            <w:tcW w:w="1212" w:type="pct"/>
            <w:tcBorders>
              <w:top w:val="nil"/>
              <w:left w:val="nil"/>
              <w:bottom w:val="single" w:sz="6" w:space="0" w:color="auto"/>
              <w:right w:val="nil"/>
            </w:tcBorders>
            <w:hideMark/>
          </w:tcPr>
          <w:p w14:paraId="65A590FE"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83</w:t>
            </w:r>
          </w:p>
        </w:tc>
        <w:tc>
          <w:tcPr>
            <w:tcW w:w="2149" w:type="pct"/>
            <w:tcBorders>
              <w:top w:val="nil"/>
              <w:left w:val="nil"/>
              <w:bottom w:val="single" w:sz="6" w:space="0" w:color="auto"/>
              <w:right w:val="nil"/>
            </w:tcBorders>
            <w:hideMark/>
          </w:tcPr>
          <w:p w14:paraId="1BB85F21" w14:textId="77777777" w:rsidR="007679D7" w:rsidRDefault="007679D7" w:rsidP="006422B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83</w:t>
            </w:r>
          </w:p>
        </w:tc>
      </w:tr>
    </w:tbl>
    <w:p w14:paraId="54E4ECA1" w14:textId="77777777" w:rsidR="007679D7" w:rsidRDefault="007679D7" w:rsidP="007679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Standard errors in parentheses      *** p&lt;0.01, ** p&lt;0.05, * p&lt;0.1</w:t>
      </w:r>
    </w:p>
    <w:p w14:paraId="6D56CA55" w14:textId="77777777" w:rsidR="007679D7" w:rsidRDefault="007679D7" w:rsidP="007679D7">
      <w:pPr>
        <w:spacing w:line="360" w:lineRule="auto"/>
        <w:jc w:val="both"/>
        <w:rPr>
          <w:rFonts w:ascii="Times New Roman" w:hAnsi="Times New Roman"/>
          <w:sz w:val="24"/>
          <w:szCs w:val="24"/>
        </w:rPr>
      </w:pPr>
    </w:p>
    <w:p w14:paraId="359D03A9" w14:textId="77777777"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Table 5 reveals the consistent result of OLS results. Lagged of FDI decrease the effect of current FDI effect on GDP per cap. Debt and unemployment are at same time decreasing the effect of FDI on economic growth.</w:t>
      </w:r>
    </w:p>
    <w:p w14:paraId="63A229B5" w14:textId="6443ECCF" w:rsidR="007679D7" w:rsidRPr="00690A79" w:rsidRDefault="00DD0775" w:rsidP="007679D7">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4. </w:t>
      </w:r>
      <w:r w:rsidR="007679D7" w:rsidRPr="00690A79">
        <w:rPr>
          <w:rFonts w:ascii="Times New Roman" w:hAnsi="Times New Roman"/>
          <w:b/>
          <w:bCs/>
          <w:sz w:val="24"/>
          <w:szCs w:val="24"/>
        </w:rPr>
        <w:t>Conclusion</w:t>
      </w:r>
    </w:p>
    <w:p w14:paraId="5F26F140" w14:textId="77777777" w:rsidR="007679D7" w:rsidRDefault="007679D7" w:rsidP="007679D7">
      <w:pPr>
        <w:spacing w:line="360" w:lineRule="auto"/>
        <w:jc w:val="both"/>
        <w:rPr>
          <w:rFonts w:ascii="Times New Roman" w:hAnsi="Times New Roman"/>
          <w:sz w:val="24"/>
          <w:szCs w:val="24"/>
        </w:rPr>
      </w:pPr>
      <w:r w:rsidRPr="00FB6302">
        <w:rPr>
          <w:rFonts w:ascii="Times New Roman" w:hAnsi="Times New Roman"/>
          <w:sz w:val="24"/>
          <w:szCs w:val="24"/>
        </w:rPr>
        <w:t xml:space="preserve">Threshold model estimate has emerged as a promising new method for investigating the connection between foreign direct investment (FDI) and economic development in recent years. This strategy operates on the premise that there is no universal correlation between foreign direct investment and economic </w:t>
      </w:r>
      <w:r>
        <w:rPr>
          <w:rFonts w:ascii="Times New Roman" w:hAnsi="Times New Roman"/>
          <w:sz w:val="24"/>
          <w:szCs w:val="24"/>
        </w:rPr>
        <w:t>growth</w:t>
      </w:r>
      <w:r w:rsidRPr="00FB6302">
        <w:rPr>
          <w:rFonts w:ascii="Times New Roman" w:hAnsi="Times New Roman"/>
          <w:sz w:val="24"/>
          <w:szCs w:val="24"/>
        </w:rPr>
        <w:t xml:space="preserve">. That is to say, there is a possible crossover point between data sets when the nexus between foreign direct investment and economic development shifts. This paper applies the threshold models of Caner and Hansen (2004) and </w:t>
      </w:r>
      <w:r w:rsidRPr="00FB6302">
        <w:rPr>
          <w:rFonts w:ascii="Times New Roman" w:hAnsi="Times New Roman"/>
          <w:sz w:val="24"/>
          <w:szCs w:val="24"/>
        </w:rPr>
        <w:lastRenderedPageBreak/>
        <w:t xml:space="preserve">Hansen (1999) to examine the connections between FDI and economic growth using </w:t>
      </w:r>
      <w:r>
        <w:rPr>
          <w:rFonts w:ascii="Times New Roman" w:hAnsi="Times New Roman"/>
          <w:sz w:val="24"/>
          <w:szCs w:val="24"/>
        </w:rPr>
        <w:t>data</w:t>
      </w:r>
      <w:r w:rsidRPr="00FB6302">
        <w:rPr>
          <w:rFonts w:ascii="Times New Roman" w:hAnsi="Times New Roman"/>
          <w:sz w:val="24"/>
          <w:szCs w:val="24"/>
        </w:rPr>
        <w:t xml:space="preserve"> from </w:t>
      </w:r>
      <w:r>
        <w:rPr>
          <w:rFonts w:ascii="Times New Roman" w:hAnsi="Times New Roman"/>
          <w:sz w:val="24"/>
          <w:szCs w:val="24"/>
        </w:rPr>
        <w:t>2001q1</w:t>
      </w:r>
      <w:r w:rsidRPr="00FB6302">
        <w:rPr>
          <w:rFonts w:ascii="Times New Roman" w:hAnsi="Times New Roman"/>
          <w:sz w:val="24"/>
          <w:szCs w:val="24"/>
        </w:rPr>
        <w:t xml:space="preserve"> to 20</w:t>
      </w:r>
      <w:r>
        <w:rPr>
          <w:rFonts w:ascii="Times New Roman" w:hAnsi="Times New Roman"/>
          <w:sz w:val="24"/>
          <w:szCs w:val="24"/>
        </w:rPr>
        <w:t>01q4</w:t>
      </w:r>
      <w:r w:rsidRPr="00FB6302">
        <w:rPr>
          <w:rFonts w:ascii="Times New Roman" w:hAnsi="Times New Roman"/>
          <w:sz w:val="24"/>
          <w:szCs w:val="24"/>
        </w:rPr>
        <w:t xml:space="preserve">. The </w:t>
      </w:r>
      <w:r>
        <w:rPr>
          <w:rFonts w:ascii="Times New Roman" w:hAnsi="Times New Roman"/>
          <w:sz w:val="24"/>
          <w:szCs w:val="24"/>
        </w:rPr>
        <w:t>seven</w:t>
      </w:r>
      <w:r w:rsidRPr="00FB6302">
        <w:rPr>
          <w:rFonts w:ascii="Times New Roman" w:hAnsi="Times New Roman"/>
          <w:sz w:val="24"/>
          <w:szCs w:val="24"/>
        </w:rPr>
        <w:t xml:space="preserve"> threshold variables used are per capita income</w:t>
      </w:r>
      <w:r>
        <w:rPr>
          <w:rFonts w:ascii="Times New Roman" w:hAnsi="Times New Roman"/>
          <w:sz w:val="24"/>
          <w:szCs w:val="24"/>
        </w:rPr>
        <w:t>,</w:t>
      </w:r>
      <w:r w:rsidRPr="00FB6302">
        <w:rPr>
          <w:rFonts w:ascii="Times New Roman" w:hAnsi="Times New Roman"/>
          <w:sz w:val="24"/>
          <w:szCs w:val="24"/>
        </w:rPr>
        <w:t xml:space="preserve"> </w:t>
      </w:r>
      <w:r>
        <w:rPr>
          <w:rFonts w:ascii="Times New Roman" w:hAnsi="Times New Roman"/>
          <w:sz w:val="24"/>
          <w:szCs w:val="24"/>
        </w:rPr>
        <w:t xml:space="preserve">institutional index, poverty, </w:t>
      </w:r>
      <w:r w:rsidRPr="00FB6302">
        <w:rPr>
          <w:rFonts w:ascii="Times New Roman" w:hAnsi="Times New Roman"/>
          <w:sz w:val="24"/>
          <w:szCs w:val="24"/>
        </w:rPr>
        <w:t>trade openness, inf</w:t>
      </w:r>
      <w:r>
        <w:rPr>
          <w:rFonts w:ascii="Times New Roman" w:hAnsi="Times New Roman"/>
          <w:sz w:val="24"/>
          <w:szCs w:val="24"/>
        </w:rPr>
        <w:t>lation</w:t>
      </w:r>
      <w:r w:rsidRPr="00FB6302">
        <w:rPr>
          <w:rFonts w:ascii="Times New Roman" w:hAnsi="Times New Roman"/>
          <w:sz w:val="24"/>
          <w:szCs w:val="24"/>
        </w:rPr>
        <w:t xml:space="preserve">, human capital, and </w:t>
      </w:r>
      <w:r>
        <w:rPr>
          <w:rFonts w:ascii="Times New Roman" w:hAnsi="Times New Roman"/>
          <w:sz w:val="24"/>
          <w:szCs w:val="24"/>
        </w:rPr>
        <w:t>private sector development.</w:t>
      </w:r>
    </w:p>
    <w:p w14:paraId="7401FEB0" w14:textId="77777777" w:rsidR="007679D7" w:rsidRDefault="007679D7" w:rsidP="007679D7">
      <w:pPr>
        <w:spacing w:line="360" w:lineRule="auto"/>
        <w:jc w:val="both"/>
        <w:rPr>
          <w:rFonts w:ascii="Times New Roman" w:hAnsi="Times New Roman"/>
          <w:sz w:val="24"/>
          <w:szCs w:val="24"/>
        </w:rPr>
      </w:pPr>
      <w:r>
        <w:rPr>
          <w:rFonts w:ascii="Times New Roman" w:hAnsi="Times New Roman"/>
          <w:sz w:val="24"/>
          <w:szCs w:val="24"/>
        </w:rPr>
        <w:t xml:space="preserve">Findings </w:t>
      </w:r>
      <w:r w:rsidRPr="00FB6302">
        <w:rPr>
          <w:rFonts w:ascii="Times New Roman" w:hAnsi="Times New Roman"/>
          <w:sz w:val="24"/>
          <w:szCs w:val="24"/>
        </w:rPr>
        <w:t xml:space="preserve">demonstrate that FDI accelerates economic development in </w:t>
      </w:r>
      <w:r>
        <w:rPr>
          <w:rFonts w:ascii="Times New Roman" w:hAnsi="Times New Roman"/>
          <w:sz w:val="24"/>
          <w:szCs w:val="24"/>
        </w:rPr>
        <w:t>Georgia</w:t>
      </w:r>
      <w:r w:rsidRPr="00FB6302">
        <w:rPr>
          <w:rFonts w:ascii="Times New Roman" w:hAnsi="Times New Roman"/>
          <w:sz w:val="24"/>
          <w:szCs w:val="24"/>
        </w:rPr>
        <w:t xml:space="preserve"> until they </w:t>
      </w:r>
      <w:r>
        <w:rPr>
          <w:rFonts w:ascii="Times New Roman" w:hAnsi="Times New Roman"/>
          <w:sz w:val="24"/>
          <w:szCs w:val="24"/>
        </w:rPr>
        <w:t>reached</w:t>
      </w:r>
      <w:r w:rsidRPr="00FB6302">
        <w:rPr>
          <w:rFonts w:ascii="Times New Roman" w:hAnsi="Times New Roman"/>
          <w:sz w:val="24"/>
          <w:szCs w:val="24"/>
        </w:rPr>
        <w:t xml:space="preserve"> certain thresholds of inflation, population growth, human capital, and</w:t>
      </w:r>
      <w:r>
        <w:rPr>
          <w:rFonts w:ascii="Times New Roman" w:hAnsi="Times New Roman"/>
          <w:sz w:val="24"/>
          <w:szCs w:val="24"/>
        </w:rPr>
        <w:t xml:space="preserve"> credit to private sector</w:t>
      </w:r>
      <w:r w:rsidRPr="00FB6302">
        <w:rPr>
          <w:rFonts w:ascii="Times New Roman" w:hAnsi="Times New Roman"/>
          <w:sz w:val="24"/>
          <w:szCs w:val="24"/>
        </w:rPr>
        <w:t xml:space="preserve">, and that this evidence is mostly consistent and durable even after accounting for the endogeneity of FDI. This research shows that the positive effect of FDI on growth is conditional on the presence of other factors that operate as a crucial economic stimulant. </w:t>
      </w:r>
      <w:r>
        <w:rPr>
          <w:rFonts w:ascii="Times New Roman" w:hAnsi="Times New Roman"/>
          <w:sz w:val="24"/>
          <w:szCs w:val="24"/>
        </w:rPr>
        <w:t>The results</w:t>
      </w:r>
      <w:r w:rsidRPr="00FB6302">
        <w:rPr>
          <w:rFonts w:ascii="Times New Roman" w:hAnsi="Times New Roman"/>
          <w:sz w:val="24"/>
          <w:szCs w:val="24"/>
        </w:rPr>
        <w:t xml:space="preserve"> conclude that FDI promotes growth in </w:t>
      </w:r>
      <w:r>
        <w:rPr>
          <w:rFonts w:ascii="Times New Roman" w:hAnsi="Times New Roman"/>
          <w:sz w:val="24"/>
          <w:szCs w:val="24"/>
        </w:rPr>
        <w:t xml:space="preserve">Georgia </w:t>
      </w:r>
      <w:r w:rsidRPr="00FB6302">
        <w:rPr>
          <w:rFonts w:ascii="Times New Roman" w:hAnsi="Times New Roman"/>
          <w:sz w:val="24"/>
          <w:szCs w:val="24"/>
        </w:rPr>
        <w:t>when inflation and private sector credit are below their threshold levels and when human capital and population growth are above their threshold levels.</w:t>
      </w:r>
    </w:p>
    <w:p w14:paraId="0B9488FF" w14:textId="77777777" w:rsidR="007679D7" w:rsidRPr="00DD0775" w:rsidRDefault="007679D7" w:rsidP="007679D7">
      <w:pPr>
        <w:spacing w:line="360" w:lineRule="auto"/>
        <w:jc w:val="both"/>
        <w:rPr>
          <w:rFonts w:ascii="Times New Roman" w:hAnsi="Times New Roman"/>
          <w:b/>
          <w:bCs/>
          <w:sz w:val="24"/>
          <w:szCs w:val="24"/>
        </w:rPr>
      </w:pPr>
      <w:r w:rsidRPr="00DD0775">
        <w:rPr>
          <w:rFonts w:ascii="Times New Roman" w:hAnsi="Times New Roman"/>
          <w:b/>
          <w:bCs/>
          <w:sz w:val="24"/>
          <w:szCs w:val="24"/>
        </w:rPr>
        <w:t xml:space="preserve">References </w:t>
      </w:r>
    </w:p>
    <w:p w14:paraId="5C585735" w14:textId="77777777" w:rsidR="007679D7" w:rsidRPr="00DD0775" w:rsidRDefault="007679D7" w:rsidP="007679D7">
      <w:pPr>
        <w:widowControl w:val="0"/>
        <w:autoSpaceDE w:val="0"/>
        <w:autoSpaceDN w:val="0"/>
        <w:adjustRightInd w:val="0"/>
        <w:spacing w:after="0" w:line="240" w:lineRule="auto"/>
        <w:rPr>
          <w:rFonts w:ascii="Times New Roman" w:hAnsi="Times New Roman"/>
          <w:sz w:val="24"/>
          <w:szCs w:val="24"/>
        </w:rPr>
      </w:pPr>
      <w:r w:rsidRPr="00DD0775">
        <w:rPr>
          <w:rFonts w:ascii="Times New Roman" w:hAnsi="Times New Roman"/>
          <w:sz w:val="24"/>
          <w:szCs w:val="24"/>
        </w:rPr>
        <w:t xml:space="preserve">Adam, C. S., &amp; Bevan, D. L. (2005, April). Fiscal deficits and growth in developing countries. </w:t>
      </w:r>
      <w:r w:rsidRPr="00DD0775">
        <w:rPr>
          <w:rFonts w:ascii="Times New Roman" w:hAnsi="Times New Roman"/>
          <w:i/>
          <w:iCs/>
          <w:sz w:val="24"/>
          <w:szCs w:val="24"/>
        </w:rPr>
        <w:t>Journal of Public Economics</w:t>
      </w:r>
      <w:r w:rsidRPr="00DD0775">
        <w:rPr>
          <w:rFonts w:ascii="Times New Roman" w:hAnsi="Times New Roman"/>
          <w:sz w:val="24"/>
          <w:szCs w:val="24"/>
        </w:rPr>
        <w:t xml:space="preserve">, </w:t>
      </w:r>
      <w:r w:rsidRPr="00DD0775">
        <w:rPr>
          <w:rFonts w:ascii="Times New Roman" w:hAnsi="Times New Roman"/>
          <w:i/>
          <w:iCs/>
          <w:sz w:val="24"/>
          <w:szCs w:val="24"/>
        </w:rPr>
        <w:t>89</w:t>
      </w:r>
      <w:r w:rsidRPr="00DD0775">
        <w:rPr>
          <w:rFonts w:ascii="Times New Roman" w:hAnsi="Times New Roman"/>
          <w:sz w:val="24"/>
          <w:szCs w:val="24"/>
        </w:rPr>
        <w:t>(4), 571–597. https://doi.org/10.1016/j.jpubeco.2004.02.006</w:t>
      </w:r>
    </w:p>
    <w:p w14:paraId="44166B6A" w14:textId="77777777" w:rsidR="007679D7" w:rsidRPr="00DD0775" w:rsidRDefault="007679D7" w:rsidP="007679D7">
      <w:pPr>
        <w:pStyle w:val="NormalWeb"/>
      </w:pPr>
      <w:proofErr w:type="spellStart"/>
      <w:r w:rsidRPr="00DD0775">
        <w:t>Aibai</w:t>
      </w:r>
      <w:proofErr w:type="spellEnd"/>
      <w:r w:rsidRPr="00DD0775">
        <w:t xml:space="preserve">, A., Huang, X., Luo, Y., &amp; Peng, Y. (2019, January 21). Foreign Direct Investment, Institutional Quality, and Financial Development along the Belt and Road: An Empirical Investigation. </w:t>
      </w:r>
      <w:r w:rsidRPr="00DD0775">
        <w:rPr>
          <w:i/>
          <w:iCs/>
        </w:rPr>
        <w:t>Emerging Markets Finance and Trade</w:t>
      </w:r>
      <w:r w:rsidRPr="00DD0775">
        <w:t xml:space="preserve">, </w:t>
      </w:r>
      <w:r w:rsidRPr="00DD0775">
        <w:rPr>
          <w:i/>
          <w:iCs/>
        </w:rPr>
        <w:t>55</w:t>
      </w:r>
      <w:r w:rsidRPr="00DD0775">
        <w:t>(14), 3275–3294. https://doi.org/10.1080/1540496x.2018.1559139</w:t>
      </w:r>
    </w:p>
    <w:p w14:paraId="2B238F36" w14:textId="77777777" w:rsidR="007679D7" w:rsidRPr="00DD0775" w:rsidRDefault="007679D7" w:rsidP="007679D7">
      <w:pPr>
        <w:pStyle w:val="NormalWeb"/>
      </w:pPr>
      <w:r w:rsidRPr="00DD0775">
        <w:t xml:space="preserve">Alfaro, L., Chanda, A., </w:t>
      </w:r>
      <w:proofErr w:type="spellStart"/>
      <w:r w:rsidRPr="00DD0775">
        <w:t>Kalemli-Ozcan</w:t>
      </w:r>
      <w:proofErr w:type="spellEnd"/>
      <w:r w:rsidRPr="00DD0775">
        <w:t xml:space="preserve">, S., &amp; </w:t>
      </w:r>
      <w:proofErr w:type="spellStart"/>
      <w:r w:rsidRPr="00DD0775">
        <w:t>Sayek</w:t>
      </w:r>
      <w:proofErr w:type="spellEnd"/>
      <w:r w:rsidRPr="00DD0775">
        <w:t xml:space="preserve">, S. (2004, October). FDI and economic growth: the role of local financial markets. </w:t>
      </w:r>
      <w:r w:rsidRPr="00DD0775">
        <w:rPr>
          <w:i/>
          <w:iCs/>
        </w:rPr>
        <w:t>Journal of International Economics</w:t>
      </w:r>
      <w:r w:rsidRPr="00DD0775">
        <w:t xml:space="preserve">, </w:t>
      </w:r>
      <w:r w:rsidRPr="00DD0775">
        <w:rPr>
          <w:i/>
          <w:iCs/>
        </w:rPr>
        <w:t>64</w:t>
      </w:r>
      <w:r w:rsidRPr="00DD0775">
        <w:t xml:space="preserve">(1), 89–112. </w:t>
      </w:r>
      <w:hyperlink r:id="rId16" w:history="1">
        <w:r w:rsidRPr="00DD0775">
          <w:rPr>
            <w:rStyle w:val="Hyperlink"/>
            <w:rFonts w:eastAsiaTheme="majorEastAsia"/>
          </w:rPr>
          <w:t>https://doi.org/10.1016/s0022-1996(03)00081-3</w:t>
        </w:r>
      </w:hyperlink>
    </w:p>
    <w:p w14:paraId="0E39CBF5" w14:textId="77777777" w:rsidR="007679D7" w:rsidRPr="00DD0775" w:rsidRDefault="007679D7" w:rsidP="007679D7">
      <w:pPr>
        <w:pStyle w:val="NormalWeb"/>
      </w:pPr>
      <w:r w:rsidRPr="00DD0775">
        <w:t xml:space="preserve">Anyanwu, J. C. (2014, September). Factors Affecting Economic Growth in Africa: Are There any Lessons from China? </w:t>
      </w:r>
      <w:r w:rsidRPr="00DD0775">
        <w:rPr>
          <w:i/>
          <w:iCs/>
        </w:rPr>
        <w:t>African Development Review</w:t>
      </w:r>
      <w:r w:rsidRPr="00DD0775">
        <w:t xml:space="preserve">, </w:t>
      </w:r>
      <w:r w:rsidRPr="00DD0775">
        <w:rPr>
          <w:i/>
          <w:iCs/>
        </w:rPr>
        <w:t>26</w:t>
      </w:r>
      <w:r w:rsidRPr="00DD0775">
        <w:t>(3), 468–493. https://doi.org/10.1111/1467-8268.12105</w:t>
      </w:r>
    </w:p>
    <w:p w14:paraId="5A523877" w14:textId="77777777" w:rsidR="007679D7" w:rsidRPr="00DD0775" w:rsidRDefault="007679D7" w:rsidP="007679D7">
      <w:pPr>
        <w:pStyle w:val="NormalWeb"/>
      </w:pPr>
      <w:proofErr w:type="spellStart"/>
      <w:r w:rsidRPr="00DD0775">
        <w:t>Azariadis</w:t>
      </w:r>
      <w:proofErr w:type="spellEnd"/>
      <w:r w:rsidRPr="00DD0775">
        <w:t>, C., &amp; Smith, B. D. (1996). Private Information, money, and growth: Indeterminacy, fluctuations, and the Mundell-Tobin effect. Journal of Economic Growth, 1(3), 309-332.</w:t>
      </w:r>
    </w:p>
    <w:p w14:paraId="1F4D0B7E" w14:textId="77777777" w:rsidR="007679D7" w:rsidRPr="00DD0775" w:rsidRDefault="007679D7" w:rsidP="007679D7">
      <w:pPr>
        <w:pStyle w:val="NormalWeb"/>
      </w:pPr>
      <w:r w:rsidRPr="00DD0775">
        <w:t xml:space="preserve">Azman-Saini, W., </w:t>
      </w:r>
      <w:proofErr w:type="spellStart"/>
      <w:r w:rsidRPr="00DD0775">
        <w:t>Baharumshah</w:t>
      </w:r>
      <w:proofErr w:type="spellEnd"/>
      <w:r w:rsidRPr="00DD0775">
        <w:t xml:space="preserve">, A. Z., &amp; Law, S. H. (2010, September). Foreign direct investment, economic freedom and economic growth: International evidence. </w:t>
      </w:r>
      <w:r w:rsidRPr="00DD0775">
        <w:rPr>
          <w:i/>
          <w:iCs/>
        </w:rPr>
        <w:t>Economic Modelling</w:t>
      </w:r>
      <w:r w:rsidRPr="00DD0775">
        <w:t xml:space="preserve">, </w:t>
      </w:r>
      <w:r w:rsidRPr="00DD0775">
        <w:rPr>
          <w:i/>
          <w:iCs/>
        </w:rPr>
        <w:t>27</w:t>
      </w:r>
      <w:r w:rsidRPr="00DD0775">
        <w:t>(5), 1079–1089. https://doi.org/10.1016/j.econmod.2010.04.001</w:t>
      </w:r>
    </w:p>
    <w:p w14:paraId="69BEA794" w14:textId="77777777" w:rsidR="007679D7" w:rsidRPr="00DD0775" w:rsidRDefault="007679D7" w:rsidP="007679D7">
      <w:pPr>
        <w:pStyle w:val="NormalWeb"/>
      </w:pPr>
      <w:r w:rsidRPr="00DD0775">
        <w:t xml:space="preserve">Azman-Saini, W.N.W., </w:t>
      </w:r>
      <w:proofErr w:type="spellStart"/>
      <w:r w:rsidRPr="00DD0775">
        <w:t>Baharumshah</w:t>
      </w:r>
      <w:proofErr w:type="spellEnd"/>
      <w:r w:rsidRPr="00DD0775">
        <w:t xml:space="preserve">, A.Z. and Law, S.H. (2010a), “Foreign direct investment, economic freedom and economic growth: international evidence”, Economic Modelling, Vol. 27 No. 5, pp. 1079-1089. </w:t>
      </w:r>
    </w:p>
    <w:p w14:paraId="522FCB8E" w14:textId="77777777" w:rsidR="007679D7" w:rsidRPr="00DD0775" w:rsidRDefault="007679D7" w:rsidP="007679D7">
      <w:pPr>
        <w:pStyle w:val="NormalWeb"/>
      </w:pPr>
      <w:r w:rsidRPr="00DD0775">
        <w:t>Azman-Saini, W.N.W., Law, S.H. and Ahmad, A.H. (2010b), “FDI and economic growth: new evidence on the role of financial markets”, Economics Letters, Vol. 107 No. 2, pp. 211-213.</w:t>
      </w:r>
    </w:p>
    <w:p w14:paraId="0EA0EAEB" w14:textId="77777777" w:rsidR="007679D7" w:rsidRPr="00DD0775" w:rsidRDefault="007679D7" w:rsidP="007679D7">
      <w:pPr>
        <w:pStyle w:val="NormalWeb"/>
      </w:pPr>
      <w:proofErr w:type="spellStart"/>
      <w:r w:rsidRPr="00DD0775">
        <w:lastRenderedPageBreak/>
        <w:t>Baharumshah</w:t>
      </w:r>
      <w:proofErr w:type="spellEnd"/>
      <w:r w:rsidRPr="00DD0775">
        <w:t xml:space="preserve">, A.Z., </w:t>
      </w:r>
      <w:proofErr w:type="spellStart"/>
      <w:r w:rsidRPr="00DD0775">
        <w:t>Slesman</w:t>
      </w:r>
      <w:proofErr w:type="spellEnd"/>
      <w:r w:rsidRPr="00DD0775">
        <w:t xml:space="preserve">, L. and </w:t>
      </w:r>
      <w:proofErr w:type="spellStart"/>
      <w:r w:rsidRPr="00DD0775">
        <w:t>Devadason</w:t>
      </w:r>
      <w:proofErr w:type="spellEnd"/>
      <w:r w:rsidRPr="00DD0775">
        <w:t>, E.S. (2017), “Types of foreign capital inflows and economic growth: new evidence on role of financial markets”, Journal of International Development, Vol. 29 No. 6, pp. 768-789.</w:t>
      </w:r>
    </w:p>
    <w:p w14:paraId="4E60F52A" w14:textId="77777777" w:rsidR="007679D7" w:rsidRPr="00DD0775" w:rsidRDefault="007679D7" w:rsidP="007679D7">
      <w:pPr>
        <w:pStyle w:val="NormalWeb"/>
      </w:pPr>
      <w:proofErr w:type="spellStart"/>
      <w:r w:rsidRPr="00DD0775">
        <w:t>Baltagi</w:t>
      </w:r>
      <w:proofErr w:type="spellEnd"/>
      <w:r w:rsidRPr="00DD0775">
        <w:t xml:space="preserve">, B. H., </w:t>
      </w:r>
      <w:proofErr w:type="spellStart"/>
      <w:r w:rsidRPr="00DD0775">
        <w:t>Demetriades</w:t>
      </w:r>
      <w:proofErr w:type="spellEnd"/>
      <w:r w:rsidRPr="00DD0775">
        <w:t>, P. O., &amp; Law, S. H. (2008). Financial Development and Openness: Evidence from Panel Data. Journal of Development Economics, 89(2), 285–296.</w:t>
      </w:r>
    </w:p>
    <w:p w14:paraId="78AA2425" w14:textId="77777777" w:rsidR="007679D7" w:rsidRPr="00DD0775" w:rsidRDefault="007679D7" w:rsidP="007679D7">
      <w:pPr>
        <w:pStyle w:val="NormalWeb"/>
      </w:pPr>
      <w:r w:rsidRPr="00DD0775">
        <w:t xml:space="preserve">Bashir, H. A., &amp; Kumar, D. (2022, September 30). Investor attention, Twitter uncertainty and cryptocurrency market amid the COVID-19 pandemic. </w:t>
      </w:r>
      <w:r w:rsidRPr="00DD0775">
        <w:rPr>
          <w:i/>
          <w:iCs/>
        </w:rPr>
        <w:t>Managerial Finance</w:t>
      </w:r>
      <w:r w:rsidRPr="00DD0775">
        <w:t xml:space="preserve">, </w:t>
      </w:r>
      <w:r w:rsidRPr="00DD0775">
        <w:rPr>
          <w:i/>
          <w:iCs/>
        </w:rPr>
        <w:t>49</w:t>
      </w:r>
      <w:r w:rsidRPr="00DD0775">
        <w:t>(4), 620–642. https://doi.org/10.1108/mf-09-2021-0414</w:t>
      </w:r>
    </w:p>
    <w:p w14:paraId="3239A21E" w14:textId="77777777" w:rsidR="007679D7" w:rsidRPr="00DD0775" w:rsidRDefault="007679D7" w:rsidP="007679D7">
      <w:pPr>
        <w:pStyle w:val="NormalWeb"/>
      </w:pPr>
      <w:proofErr w:type="spellStart"/>
      <w:r w:rsidRPr="00DD0775">
        <w:t>Bittencourt</w:t>
      </w:r>
      <w:proofErr w:type="spellEnd"/>
      <w:r w:rsidRPr="00DD0775">
        <w:t xml:space="preserve">, M. (2012, March). Inflation and economic growth in Latin America: Some panel time-series evidence. </w:t>
      </w:r>
      <w:r w:rsidRPr="00DD0775">
        <w:rPr>
          <w:i/>
          <w:iCs/>
        </w:rPr>
        <w:t>Economic Modelling</w:t>
      </w:r>
      <w:r w:rsidRPr="00DD0775">
        <w:t xml:space="preserve">, </w:t>
      </w:r>
      <w:r w:rsidRPr="00DD0775">
        <w:rPr>
          <w:i/>
          <w:iCs/>
        </w:rPr>
        <w:t>29</w:t>
      </w:r>
      <w:r w:rsidRPr="00DD0775">
        <w:t>(2), 333–340. https://doi.org/10.1016/j.econmod.2011.10.018</w:t>
      </w:r>
    </w:p>
    <w:p w14:paraId="680D2A58" w14:textId="77777777" w:rsidR="007679D7" w:rsidRPr="00DD0775" w:rsidRDefault="007679D7" w:rsidP="007679D7">
      <w:pPr>
        <w:pStyle w:val="NormalWeb"/>
      </w:pPr>
      <w:r w:rsidRPr="00DD0775">
        <w:t xml:space="preserve">Bornstein, M. H., Haynes, O. M., Azuma, H., </w:t>
      </w:r>
      <w:proofErr w:type="spellStart"/>
      <w:r w:rsidRPr="00DD0775">
        <w:t>Galperín</w:t>
      </w:r>
      <w:proofErr w:type="spellEnd"/>
      <w:r w:rsidRPr="00DD0775">
        <w:t xml:space="preserve">, C., </w:t>
      </w:r>
      <w:proofErr w:type="spellStart"/>
      <w:r w:rsidRPr="00DD0775">
        <w:t>Maital</w:t>
      </w:r>
      <w:proofErr w:type="spellEnd"/>
      <w:r w:rsidRPr="00DD0775">
        <w:t xml:space="preserve">, S., Ogino, M., Painter, K., Pascual, L., </w:t>
      </w:r>
      <w:proofErr w:type="spellStart"/>
      <w:r w:rsidRPr="00DD0775">
        <w:t>Pêcheux</w:t>
      </w:r>
      <w:proofErr w:type="spellEnd"/>
      <w:r w:rsidRPr="00DD0775">
        <w:t xml:space="preserve">, M. G., </w:t>
      </w:r>
      <w:proofErr w:type="spellStart"/>
      <w:r w:rsidRPr="00DD0775">
        <w:t>Rahn</w:t>
      </w:r>
      <w:proofErr w:type="spellEnd"/>
      <w:r w:rsidRPr="00DD0775">
        <w:t xml:space="preserve">, C., Toda, S., Venuti, P., </w:t>
      </w:r>
      <w:proofErr w:type="spellStart"/>
      <w:r w:rsidRPr="00DD0775">
        <w:t>Vyt</w:t>
      </w:r>
      <w:proofErr w:type="spellEnd"/>
      <w:r w:rsidRPr="00DD0775">
        <w:t xml:space="preserve">, A., &amp; Wright, B. (1998, July). A cross-national study of self-evaluations and attributions in parenting: Argentina, Belgium, France, Israel, Italy, Japan, and the United States. </w:t>
      </w:r>
      <w:r w:rsidRPr="00DD0775">
        <w:rPr>
          <w:i/>
          <w:iCs/>
        </w:rPr>
        <w:t>Developmental Psychology</w:t>
      </w:r>
      <w:r w:rsidRPr="00DD0775">
        <w:t xml:space="preserve">, </w:t>
      </w:r>
      <w:r w:rsidRPr="00DD0775">
        <w:rPr>
          <w:i/>
          <w:iCs/>
        </w:rPr>
        <w:t>34</w:t>
      </w:r>
      <w:r w:rsidRPr="00DD0775">
        <w:t>(4), 662–676. https://doi.org/10.1037/0012-1649.34.4.662</w:t>
      </w:r>
    </w:p>
    <w:p w14:paraId="5C1E5CD1" w14:textId="77777777" w:rsidR="007679D7" w:rsidRPr="00DD0775" w:rsidRDefault="007679D7" w:rsidP="007679D7">
      <w:pPr>
        <w:pStyle w:val="NormalWeb"/>
      </w:pPr>
      <w:proofErr w:type="spellStart"/>
      <w:r w:rsidRPr="00DD0775">
        <w:t>Brojvtn</w:t>
      </w:r>
      <w:proofErr w:type="spellEnd"/>
      <w:r w:rsidRPr="00DD0775">
        <w:t xml:space="preserve"> and Eckel (2003). Winners and losers from an international investment agreement. Working </w:t>
      </w:r>
      <w:proofErr w:type="spellStart"/>
      <w:proofErr w:type="gramStart"/>
      <w:r w:rsidRPr="00DD0775">
        <w:t>paper,CMI</w:t>
      </w:r>
      <w:proofErr w:type="spellEnd"/>
      <w:proofErr w:type="gramEnd"/>
      <w:r w:rsidRPr="00DD0775">
        <w:t xml:space="preserve"> Working paper </w:t>
      </w:r>
      <w:hyperlink r:id="rId17" w:history="1">
        <w:r w:rsidRPr="00DD0775">
          <w:rPr>
            <w:rStyle w:val="Hyperlink"/>
            <w:rFonts w:eastAsiaTheme="majorEastAsia"/>
          </w:rPr>
          <w:t>https://econpapers.repec.org/paper/chmwpaper/wp2003-11.htm</w:t>
        </w:r>
      </w:hyperlink>
    </w:p>
    <w:p w14:paraId="13DB9884" w14:textId="77777777" w:rsidR="007679D7" w:rsidRPr="00DD0775" w:rsidRDefault="007679D7" w:rsidP="007679D7">
      <w:pPr>
        <w:pStyle w:val="NormalWeb"/>
      </w:pPr>
      <w:r w:rsidRPr="00DD0775">
        <w:t xml:space="preserve">Bucci, A. (2015, June). Product Proliferation, Population, and Economic Growth. </w:t>
      </w:r>
      <w:r w:rsidRPr="00DD0775">
        <w:rPr>
          <w:i/>
          <w:iCs/>
        </w:rPr>
        <w:t>Journal of Human Capital</w:t>
      </w:r>
      <w:r w:rsidRPr="00DD0775">
        <w:t xml:space="preserve">, </w:t>
      </w:r>
      <w:r w:rsidRPr="00DD0775">
        <w:rPr>
          <w:i/>
          <w:iCs/>
        </w:rPr>
        <w:t>9</w:t>
      </w:r>
      <w:r w:rsidRPr="00DD0775">
        <w:t>(2), 170–197. https://doi.org/10.1086/680861</w:t>
      </w:r>
    </w:p>
    <w:p w14:paraId="6A76CA94" w14:textId="77777777" w:rsidR="007679D7" w:rsidRPr="00DD0775" w:rsidRDefault="007679D7" w:rsidP="007679D7">
      <w:pPr>
        <w:pStyle w:val="NormalWeb"/>
      </w:pPr>
      <w:r w:rsidRPr="00DD0775">
        <w:t xml:space="preserve">Caner, M., &amp; Hansen, B. E. (2004, October). INSTRUMENTAL VARIABLE ESTIMATION OF A THRESHOLD MODEL. </w:t>
      </w:r>
      <w:r w:rsidRPr="00DD0775">
        <w:rPr>
          <w:i/>
          <w:iCs/>
        </w:rPr>
        <w:t>Econometric Theory</w:t>
      </w:r>
      <w:r w:rsidRPr="00DD0775">
        <w:t xml:space="preserve">, </w:t>
      </w:r>
      <w:r w:rsidRPr="00DD0775">
        <w:rPr>
          <w:i/>
          <w:iCs/>
        </w:rPr>
        <w:t>20</w:t>
      </w:r>
      <w:r w:rsidRPr="00DD0775">
        <w:t>(05). https://doi.org/10.1017/s0266466604205011</w:t>
      </w:r>
    </w:p>
    <w:p w14:paraId="6A468CAB" w14:textId="77777777" w:rsidR="007679D7" w:rsidRPr="00DD0775" w:rsidRDefault="007679D7" w:rsidP="007679D7">
      <w:pPr>
        <w:pStyle w:val="NormalWeb"/>
      </w:pPr>
      <w:proofErr w:type="spellStart"/>
      <w:r w:rsidRPr="00DD0775">
        <w:t>Carkovic</w:t>
      </w:r>
      <w:proofErr w:type="spellEnd"/>
      <w:r w:rsidRPr="00DD0775">
        <w:t xml:space="preserve">, M., &amp; Levine, R. E. (2002). Does Foreign Direct Investment Accelerate Economic Growth? </w:t>
      </w:r>
      <w:r w:rsidRPr="00DD0775">
        <w:rPr>
          <w:i/>
          <w:iCs/>
        </w:rPr>
        <w:t>SSRN Electronic Journal</w:t>
      </w:r>
      <w:r w:rsidRPr="00DD0775">
        <w:t xml:space="preserve">. </w:t>
      </w:r>
      <w:hyperlink r:id="rId18" w:history="1">
        <w:r w:rsidRPr="00DD0775">
          <w:rPr>
            <w:rStyle w:val="Hyperlink"/>
            <w:rFonts w:eastAsiaTheme="majorEastAsia"/>
          </w:rPr>
          <w:t>https://doi.org/10.2139/ssrn.314924</w:t>
        </w:r>
      </w:hyperlink>
    </w:p>
    <w:p w14:paraId="2F8F7475" w14:textId="77777777" w:rsidR="007679D7" w:rsidRPr="00DD0775" w:rsidRDefault="007679D7" w:rsidP="007679D7">
      <w:pPr>
        <w:pStyle w:val="NormalWeb"/>
      </w:pPr>
      <w:r w:rsidRPr="00DD0775">
        <w:t>Chen, J. and Quang, T. (2014), “The impact of international financial integration on economic growth: new evidence on threshold effects”, Economic Modelling, Vol. 42, pp. 475-489.</w:t>
      </w:r>
    </w:p>
    <w:p w14:paraId="2D737B68" w14:textId="77777777" w:rsidR="007679D7" w:rsidRPr="00DD0775" w:rsidRDefault="007679D7" w:rsidP="007679D7">
      <w:pPr>
        <w:pStyle w:val="NormalWeb"/>
      </w:pPr>
      <w:proofErr w:type="spellStart"/>
      <w:r w:rsidRPr="00DD0775">
        <w:t>Gorg</w:t>
      </w:r>
      <w:proofErr w:type="spellEnd"/>
      <w:r w:rsidRPr="00DD0775">
        <w:t xml:space="preserve">, H., &amp; Greenaway, D. (2004). Much Ado About Nothing? Do Domestic Firms Really Benefit from Foreign Direct Investment? </w:t>
      </w:r>
      <w:r w:rsidRPr="00DD0775">
        <w:rPr>
          <w:i/>
          <w:iCs/>
        </w:rPr>
        <w:t>SSRN Electronic Journal</w:t>
      </w:r>
      <w:r w:rsidRPr="00DD0775">
        <w:t xml:space="preserve">. </w:t>
      </w:r>
      <w:hyperlink r:id="rId19" w:history="1">
        <w:r w:rsidRPr="00DD0775">
          <w:rPr>
            <w:rStyle w:val="Hyperlink"/>
            <w:rFonts w:eastAsiaTheme="majorEastAsia"/>
          </w:rPr>
          <w:t>https://doi.org/10.2139/ssrn.475044</w:t>
        </w:r>
      </w:hyperlink>
    </w:p>
    <w:p w14:paraId="42520286" w14:textId="77777777" w:rsidR="007679D7" w:rsidRPr="00DD0775" w:rsidRDefault="007679D7" w:rsidP="007679D7">
      <w:pPr>
        <w:pStyle w:val="NormalWeb"/>
      </w:pPr>
      <w:proofErr w:type="spellStart"/>
      <w:r w:rsidRPr="00DD0775">
        <w:t>Gui-Diby</w:t>
      </w:r>
      <w:proofErr w:type="spellEnd"/>
      <w:r w:rsidRPr="00DD0775">
        <w:t xml:space="preserve">, S. L. (2014, September). Impact of foreign direct investments on economic growth in Africa: Evidence from three decades of panel data analyses. </w:t>
      </w:r>
      <w:r w:rsidRPr="00DD0775">
        <w:rPr>
          <w:i/>
          <w:iCs/>
        </w:rPr>
        <w:t>Research in Economics</w:t>
      </w:r>
      <w:r w:rsidRPr="00DD0775">
        <w:t xml:space="preserve">, </w:t>
      </w:r>
      <w:r w:rsidRPr="00DD0775">
        <w:rPr>
          <w:i/>
          <w:iCs/>
        </w:rPr>
        <w:t>68</w:t>
      </w:r>
      <w:r w:rsidRPr="00DD0775">
        <w:t>(3), 248–256. https://doi.org/10.1016/j.rie.2014.04.003</w:t>
      </w:r>
    </w:p>
    <w:p w14:paraId="5F379BEE" w14:textId="77777777" w:rsidR="007679D7" w:rsidRPr="00DD0775" w:rsidRDefault="007679D7" w:rsidP="007679D7">
      <w:pPr>
        <w:pStyle w:val="NormalWeb"/>
      </w:pPr>
      <w:proofErr w:type="spellStart"/>
      <w:r w:rsidRPr="00DD0775">
        <w:t>Hajilee</w:t>
      </w:r>
      <w:proofErr w:type="spellEnd"/>
      <w:r w:rsidRPr="00DD0775">
        <w:t xml:space="preserve">, M., &amp; Nasser, O. M. A. (2015). The Relationship between Financial Market Development and Foreign Direct Investment in Latin American Countries. </w:t>
      </w:r>
      <w:r w:rsidRPr="00DD0775">
        <w:rPr>
          <w:i/>
          <w:iCs/>
        </w:rPr>
        <w:t>The Journal of Developing Areas</w:t>
      </w:r>
      <w:r w:rsidRPr="00DD0775">
        <w:t xml:space="preserve">, </w:t>
      </w:r>
      <w:r w:rsidRPr="00DD0775">
        <w:rPr>
          <w:i/>
          <w:iCs/>
        </w:rPr>
        <w:t>49</w:t>
      </w:r>
      <w:r w:rsidRPr="00DD0775">
        <w:t>(2), 227–245. https://doi.org/10.1353/jda.2015.0043</w:t>
      </w:r>
    </w:p>
    <w:p w14:paraId="7365DDB6" w14:textId="77777777" w:rsidR="007679D7" w:rsidRPr="00DD0775" w:rsidRDefault="007679D7" w:rsidP="007679D7">
      <w:pPr>
        <w:pStyle w:val="NormalWeb"/>
      </w:pPr>
      <w:r w:rsidRPr="00DD0775">
        <w:t xml:space="preserve">Hansen, B.E. (2000), “Sample splitting and threshold estimation”, </w:t>
      </w:r>
      <w:proofErr w:type="spellStart"/>
      <w:r w:rsidRPr="00DD0775">
        <w:t>Econometrica</w:t>
      </w:r>
      <w:proofErr w:type="spellEnd"/>
      <w:r w:rsidRPr="00DD0775">
        <w:t>, Vol. 68 No. 3, pp. 575-603.</w:t>
      </w:r>
    </w:p>
    <w:p w14:paraId="25F790AC" w14:textId="77777777" w:rsidR="007679D7" w:rsidRPr="00DD0775" w:rsidRDefault="007679D7" w:rsidP="007679D7">
      <w:pPr>
        <w:pStyle w:val="NormalWeb"/>
      </w:pPr>
      <w:r w:rsidRPr="00DD0775">
        <w:lastRenderedPageBreak/>
        <w:t xml:space="preserve">Hanson, M. (2001, December). Institutional Theory and Educational Change. </w:t>
      </w:r>
      <w:r w:rsidRPr="00DD0775">
        <w:rPr>
          <w:i/>
          <w:iCs/>
        </w:rPr>
        <w:t>Educational Administration Quarterly</w:t>
      </w:r>
      <w:r w:rsidRPr="00DD0775">
        <w:t xml:space="preserve">, </w:t>
      </w:r>
      <w:r w:rsidRPr="00DD0775">
        <w:rPr>
          <w:i/>
          <w:iCs/>
        </w:rPr>
        <w:t>37</w:t>
      </w:r>
      <w:r w:rsidRPr="00DD0775">
        <w:t xml:space="preserve">(5), 637–661. </w:t>
      </w:r>
      <w:hyperlink r:id="rId20" w:history="1">
        <w:r w:rsidRPr="00DD0775">
          <w:rPr>
            <w:rStyle w:val="Hyperlink"/>
            <w:rFonts w:eastAsiaTheme="majorEastAsia"/>
          </w:rPr>
          <w:t>https://doi.org/10.1177/00131610121969451</w:t>
        </w:r>
      </w:hyperlink>
    </w:p>
    <w:p w14:paraId="2575CC36" w14:textId="77777777" w:rsidR="007679D7" w:rsidRPr="00DD0775" w:rsidRDefault="007679D7" w:rsidP="007679D7">
      <w:pPr>
        <w:pStyle w:val="NormalWeb"/>
      </w:pPr>
      <w:r w:rsidRPr="00DD0775">
        <w:t xml:space="preserve">Hayakawa, K., Kimura, F., &amp; Lee, H. H. (2013, February 19). How Does Country Risk Matter for Foreign Direct Investment? </w:t>
      </w:r>
      <w:r w:rsidRPr="00DD0775">
        <w:rPr>
          <w:i/>
          <w:iCs/>
        </w:rPr>
        <w:t>The Developing Economies</w:t>
      </w:r>
      <w:r w:rsidRPr="00DD0775">
        <w:t xml:space="preserve">, </w:t>
      </w:r>
      <w:r w:rsidRPr="00DD0775">
        <w:rPr>
          <w:i/>
          <w:iCs/>
        </w:rPr>
        <w:t>51</w:t>
      </w:r>
      <w:r w:rsidRPr="00DD0775">
        <w:t>(1), 60–78. https://doi.org/10.1111/deve.12002</w:t>
      </w:r>
    </w:p>
    <w:p w14:paraId="3327F029" w14:textId="77777777" w:rsidR="007679D7" w:rsidRPr="00DD0775" w:rsidRDefault="007679D7" w:rsidP="007679D7">
      <w:pPr>
        <w:pStyle w:val="NormalWeb"/>
      </w:pPr>
      <w:r w:rsidRPr="00DD0775">
        <w:t xml:space="preserve">Headey, D. D., &amp; Hodge, A. (2009, June). The Effect of Population Growth on Economic Growth: A Meta-Regression Analysis of the Macroeconomic Literature. </w:t>
      </w:r>
      <w:r w:rsidRPr="00DD0775">
        <w:rPr>
          <w:i/>
          <w:iCs/>
        </w:rPr>
        <w:t>Population and Development Review</w:t>
      </w:r>
      <w:r w:rsidRPr="00DD0775">
        <w:t xml:space="preserve">, </w:t>
      </w:r>
      <w:r w:rsidRPr="00DD0775">
        <w:rPr>
          <w:i/>
          <w:iCs/>
        </w:rPr>
        <w:t>35</w:t>
      </w:r>
      <w:r w:rsidRPr="00DD0775">
        <w:t>(2), 221–248. https://doi.org/10.1111/j.1728-4457.2009.00274.x</w:t>
      </w:r>
    </w:p>
    <w:p w14:paraId="1E3525BF" w14:textId="77777777" w:rsidR="007679D7" w:rsidRPr="00DD0775" w:rsidRDefault="007679D7" w:rsidP="007679D7">
      <w:pPr>
        <w:pStyle w:val="NormalWeb"/>
      </w:pPr>
      <w:r w:rsidRPr="00DD0775">
        <w:t>Henri, N., Luc, N. N., &amp; Larissa, N. (2019). The long-run and short-run effects of foreign direct investment on financial development in African countries. African Development Review, 31(2), 216-229.</w:t>
      </w:r>
    </w:p>
    <w:p w14:paraId="77F5C37C" w14:textId="77777777" w:rsidR="007679D7" w:rsidRPr="00DD0775" w:rsidRDefault="007679D7" w:rsidP="007679D7">
      <w:pPr>
        <w:pStyle w:val="NormalWeb"/>
      </w:pPr>
      <w:r w:rsidRPr="00DD0775">
        <w:t>Huang, Y. (2010). Determinants of financial development. Springer Nature.</w:t>
      </w:r>
    </w:p>
    <w:p w14:paraId="2A59679B" w14:textId="77777777" w:rsidR="007679D7" w:rsidRPr="00DD0775" w:rsidRDefault="007679D7" w:rsidP="007679D7">
      <w:pPr>
        <w:pStyle w:val="NormalWeb"/>
      </w:pPr>
      <w:r w:rsidRPr="00DD0775">
        <w:t xml:space="preserve">Jude, C., &amp; </w:t>
      </w:r>
      <w:proofErr w:type="spellStart"/>
      <w:r w:rsidRPr="00DD0775">
        <w:t>Levieuge</w:t>
      </w:r>
      <w:proofErr w:type="spellEnd"/>
      <w:r w:rsidRPr="00DD0775">
        <w:t xml:space="preserve">, G. (2017, May 15). Growth Effect of Foreign Direct Investment in Developing Economies: The Role of Institutional Quality. </w:t>
      </w:r>
      <w:r w:rsidRPr="00DD0775">
        <w:rPr>
          <w:i/>
          <w:iCs/>
        </w:rPr>
        <w:t>The World Economy</w:t>
      </w:r>
      <w:r w:rsidRPr="00DD0775">
        <w:t xml:space="preserve">, </w:t>
      </w:r>
      <w:r w:rsidRPr="00DD0775">
        <w:rPr>
          <w:i/>
          <w:iCs/>
        </w:rPr>
        <w:t>40</w:t>
      </w:r>
      <w:r w:rsidRPr="00DD0775">
        <w:t xml:space="preserve">(4), 715–742. </w:t>
      </w:r>
      <w:hyperlink r:id="rId21" w:history="1">
        <w:r w:rsidRPr="00DD0775">
          <w:rPr>
            <w:rStyle w:val="Hyperlink"/>
            <w:rFonts w:eastAsiaTheme="majorEastAsia"/>
          </w:rPr>
          <w:t>https://doi.org/10.1111/twec.12402</w:t>
        </w:r>
      </w:hyperlink>
    </w:p>
    <w:p w14:paraId="42E86D04" w14:textId="77777777" w:rsidR="007679D7" w:rsidRPr="00DD0775" w:rsidRDefault="007679D7" w:rsidP="007679D7">
      <w:pPr>
        <w:pStyle w:val="NormalWeb"/>
      </w:pPr>
      <w:r w:rsidRPr="00DD0775">
        <w:t xml:space="preserve">Khan, M. S., &amp; </w:t>
      </w:r>
      <w:proofErr w:type="spellStart"/>
      <w:r w:rsidRPr="00DD0775">
        <w:t>Senhadji</w:t>
      </w:r>
      <w:proofErr w:type="spellEnd"/>
      <w:r w:rsidRPr="00DD0775">
        <w:t xml:space="preserve">, A. S. (2000). Threshold Effects in the Relationship between Inflation and Growth. </w:t>
      </w:r>
      <w:r w:rsidRPr="00DD0775">
        <w:rPr>
          <w:i/>
          <w:iCs/>
        </w:rPr>
        <w:t>SSRN Electronic Journal</w:t>
      </w:r>
      <w:r w:rsidRPr="00DD0775">
        <w:t>. https://doi.org/10.2139/ssrn.879840</w:t>
      </w:r>
    </w:p>
    <w:p w14:paraId="69AB05C5" w14:textId="77777777" w:rsidR="007679D7" w:rsidRPr="00DD0775" w:rsidRDefault="007679D7" w:rsidP="007679D7">
      <w:pPr>
        <w:pStyle w:val="NormalWeb"/>
      </w:pPr>
      <w:proofErr w:type="spellStart"/>
      <w:r w:rsidRPr="00DD0775">
        <w:t>Kholdy</w:t>
      </w:r>
      <w:proofErr w:type="spellEnd"/>
      <w:r w:rsidRPr="00DD0775">
        <w:t xml:space="preserve">, S., &amp; </w:t>
      </w:r>
      <w:proofErr w:type="spellStart"/>
      <w:r w:rsidRPr="00DD0775">
        <w:t>Sohrabian</w:t>
      </w:r>
      <w:proofErr w:type="spellEnd"/>
      <w:r w:rsidRPr="00DD0775">
        <w:t xml:space="preserve">, A. (2008, October 31). Foreign direct investment, financial markets, and political corruption. </w:t>
      </w:r>
      <w:r w:rsidRPr="00DD0775">
        <w:rPr>
          <w:i/>
          <w:iCs/>
        </w:rPr>
        <w:t>Journal of Economic Studies</w:t>
      </w:r>
      <w:r w:rsidRPr="00DD0775">
        <w:t xml:space="preserve">, </w:t>
      </w:r>
      <w:r w:rsidRPr="00DD0775">
        <w:rPr>
          <w:i/>
          <w:iCs/>
        </w:rPr>
        <w:t>35</w:t>
      </w:r>
      <w:r w:rsidRPr="00DD0775">
        <w:t>(6), 486–500. https://doi.org/10.1108/01443580810916514</w:t>
      </w:r>
    </w:p>
    <w:p w14:paraId="6109562B" w14:textId="77777777" w:rsidR="007679D7" w:rsidRPr="00DD0775" w:rsidRDefault="007679D7" w:rsidP="007679D7">
      <w:pPr>
        <w:pStyle w:val="NormalWeb"/>
      </w:pPr>
      <w:r w:rsidRPr="00DD0775">
        <w:t>Kim, D. H., &amp; Lin, S. C. (2010). Dynamic relationship between inflation and financial development. Macroeconomic Dynamics, 14(3), 343-364.</w:t>
      </w:r>
    </w:p>
    <w:p w14:paraId="3E3B9646" w14:textId="77777777" w:rsidR="007679D7" w:rsidRPr="00DD0775" w:rsidRDefault="007679D7" w:rsidP="007679D7">
      <w:pPr>
        <w:pStyle w:val="NormalWeb"/>
      </w:pPr>
      <w:r w:rsidRPr="00DD0775">
        <w:t xml:space="preserve">Li, X., &amp; Liu, X. (2005, March). Foreign Direct Investment and Economic Growth: An Increasingly Endogenous Relationship. </w:t>
      </w:r>
      <w:r w:rsidRPr="00DD0775">
        <w:rPr>
          <w:i/>
          <w:iCs/>
        </w:rPr>
        <w:t>World Development</w:t>
      </w:r>
      <w:r w:rsidRPr="00DD0775">
        <w:t xml:space="preserve">, </w:t>
      </w:r>
      <w:r w:rsidRPr="00DD0775">
        <w:rPr>
          <w:i/>
          <w:iCs/>
        </w:rPr>
        <w:t>33</w:t>
      </w:r>
      <w:r w:rsidRPr="00DD0775">
        <w:t>(3), 393–407. https://doi.org/10.1016/j.worlddev.2004.11.001</w:t>
      </w:r>
    </w:p>
    <w:p w14:paraId="0F00CF6D" w14:textId="77777777" w:rsidR="007679D7" w:rsidRPr="00DD0775" w:rsidRDefault="007679D7" w:rsidP="007679D7">
      <w:pPr>
        <w:pStyle w:val="NormalWeb"/>
      </w:pPr>
      <w:r w:rsidRPr="00DD0775">
        <w:t xml:space="preserve">Lipsey </w:t>
      </w:r>
      <w:proofErr w:type="spellStart"/>
      <w:proofErr w:type="gramStart"/>
      <w:r w:rsidRPr="00DD0775">
        <w:t>E.Robert</w:t>
      </w:r>
      <w:proofErr w:type="spellEnd"/>
      <w:proofErr w:type="gramEnd"/>
      <w:r w:rsidRPr="00DD0775">
        <w:t xml:space="preserve"> (2002).Home and Host Country effects of Foreign Direct </w:t>
      </w:r>
      <w:proofErr w:type="spellStart"/>
      <w:r w:rsidRPr="00DD0775">
        <w:t>InvestmentChallenge</w:t>
      </w:r>
      <w:proofErr w:type="spellEnd"/>
      <w:r w:rsidRPr="00DD0775">
        <w:t xml:space="preserve"> to Globalization</w:t>
      </w:r>
    </w:p>
    <w:p w14:paraId="2D2253D4" w14:textId="77777777" w:rsidR="007679D7" w:rsidRPr="00DD0775" w:rsidRDefault="007679D7" w:rsidP="007679D7">
      <w:pPr>
        <w:pStyle w:val="NormalWeb"/>
      </w:pPr>
      <w:r w:rsidRPr="00DD0775">
        <w:t xml:space="preserve">Majeed, A., Jiang, P., Ahmad, M., Khan, M. A., &amp; </w:t>
      </w:r>
      <w:proofErr w:type="spellStart"/>
      <w:r w:rsidRPr="00DD0775">
        <w:t>Olah</w:t>
      </w:r>
      <w:proofErr w:type="spellEnd"/>
      <w:r w:rsidRPr="00DD0775">
        <w:t>, J. (2021). The Impact of Foreign Direct Investment on Financial Development: New Evidence from Panel Cointegration and Causality Analysis. Journal of Competitiveness, 13(1), 95–112.</w:t>
      </w:r>
    </w:p>
    <w:p w14:paraId="18F6AD95" w14:textId="77777777" w:rsidR="007679D7" w:rsidRPr="00DD0775" w:rsidRDefault="007679D7" w:rsidP="007679D7">
      <w:pPr>
        <w:pStyle w:val="NormalWeb"/>
      </w:pPr>
      <w:r w:rsidRPr="00DD0775">
        <w:t xml:space="preserve">PRADHAN, R. P., ARVIN, M. B., &amp; HALL, J. H. (2019, May 26). THE NEXUS BETWEEN ECONOMIC GROWTH, STOCK MARKET DEPTH, TRADE OPENNESS, AND FOREIGN DIRECT INVESTMENT: THE CASE OF ASEAN COUNTRIES. </w:t>
      </w:r>
      <w:r w:rsidRPr="00DD0775">
        <w:rPr>
          <w:i/>
          <w:iCs/>
        </w:rPr>
        <w:t>The Singapore Economic Review</w:t>
      </w:r>
      <w:r w:rsidRPr="00DD0775">
        <w:t xml:space="preserve">, </w:t>
      </w:r>
      <w:r w:rsidRPr="00DD0775">
        <w:rPr>
          <w:i/>
          <w:iCs/>
        </w:rPr>
        <w:t>64</w:t>
      </w:r>
      <w:r w:rsidRPr="00DD0775">
        <w:t>(03), 461–493. https://doi.org/10.1142/s0217590817500175</w:t>
      </w:r>
    </w:p>
    <w:p w14:paraId="4A6DDE22" w14:textId="77777777" w:rsidR="007679D7" w:rsidRPr="00DD0775" w:rsidRDefault="007679D7" w:rsidP="007679D7">
      <w:pPr>
        <w:pStyle w:val="NormalWeb"/>
      </w:pPr>
      <w:proofErr w:type="spellStart"/>
      <w:r w:rsidRPr="00DD0775">
        <w:t>Rajan</w:t>
      </w:r>
      <w:proofErr w:type="spellEnd"/>
      <w:r w:rsidRPr="00DD0775">
        <w:t>, R. G., &amp; Zingales, L. (2003). The great reversals: the politics of financial development in the twentieth century. Journal of Financial Economics, 69(1), 5-50.</w:t>
      </w:r>
    </w:p>
    <w:p w14:paraId="73EF903F" w14:textId="77777777" w:rsidR="007679D7" w:rsidRPr="00DD0775" w:rsidRDefault="007679D7" w:rsidP="007679D7">
      <w:pPr>
        <w:pStyle w:val="NormalWeb"/>
      </w:pPr>
      <w:proofErr w:type="spellStart"/>
      <w:r w:rsidRPr="00DD0775">
        <w:lastRenderedPageBreak/>
        <w:t>Rajan</w:t>
      </w:r>
      <w:proofErr w:type="spellEnd"/>
      <w:r w:rsidRPr="00DD0775">
        <w:t xml:space="preserve">, R. G., &amp; Zingales, L. (2003, July). The great reversals: the politics of financial development in the twentieth century. </w:t>
      </w:r>
      <w:r w:rsidRPr="00DD0775">
        <w:rPr>
          <w:i/>
          <w:iCs/>
        </w:rPr>
        <w:t>Journal of Financial Economics</w:t>
      </w:r>
      <w:r w:rsidRPr="00DD0775">
        <w:t xml:space="preserve">, </w:t>
      </w:r>
      <w:r w:rsidRPr="00DD0775">
        <w:rPr>
          <w:i/>
          <w:iCs/>
        </w:rPr>
        <w:t>69</w:t>
      </w:r>
      <w:r w:rsidRPr="00DD0775">
        <w:t>(1), 5–50. https://doi.org/10.1016/s0304-405x(03)00125-9</w:t>
      </w:r>
    </w:p>
    <w:p w14:paraId="487DAF2E" w14:textId="77777777" w:rsidR="007679D7" w:rsidRPr="00DD0775" w:rsidRDefault="007679D7" w:rsidP="007679D7">
      <w:pPr>
        <w:pStyle w:val="NormalWeb"/>
      </w:pPr>
      <w:r w:rsidRPr="00DD0775">
        <w:t xml:space="preserve">Rousseau, P. L., &amp; </w:t>
      </w:r>
      <w:proofErr w:type="spellStart"/>
      <w:r w:rsidRPr="00DD0775">
        <w:t>Yilmazkuday</w:t>
      </w:r>
      <w:proofErr w:type="spellEnd"/>
      <w:r w:rsidRPr="00DD0775">
        <w:t>, H. (2009). Inflation, financial development, and growth: A trilateral analysis. Economic Systems, 33(4), 310-324.</w:t>
      </w:r>
    </w:p>
    <w:p w14:paraId="18B65FF0" w14:textId="77777777" w:rsidR="007679D7" w:rsidRPr="00DD0775" w:rsidRDefault="007679D7" w:rsidP="007679D7">
      <w:pPr>
        <w:pStyle w:val="NormalWeb"/>
      </w:pPr>
      <w:proofErr w:type="spellStart"/>
      <w:r w:rsidRPr="00DD0775">
        <w:t>Sahin</w:t>
      </w:r>
      <w:proofErr w:type="spellEnd"/>
      <w:r w:rsidRPr="00DD0775">
        <w:t xml:space="preserve">, S., &amp; </w:t>
      </w:r>
      <w:proofErr w:type="spellStart"/>
      <w:r w:rsidRPr="00DD0775">
        <w:t>Ege</w:t>
      </w:r>
      <w:proofErr w:type="spellEnd"/>
      <w:r w:rsidRPr="00DD0775">
        <w:t xml:space="preserve">, I. (2015). Financial development and FDI in Greece and </w:t>
      </w:r>
      <w:proofErr w:type="spellStart"/>
      <w:r w:rsidRPr="00DD0775">
        <w:t>neighboring</w:t>
      </w:r>
      <w:proofErr w:type="spellEnd"/>
      <w:r w:rsidRPr="00DD0775">
        <w:t xml:space="preserve"> countries: A panel data analysis. Procedia Economics and Finance, 24, 583-588.</w:t>
      </w:r>
    </w:p>
    <w:p w14:paraId="278B4711" w14:textId="77777777" w:rsidR="007679D7" w:rsidRPr="00DD0775" w:rsidRDefault="007679D7" w:rsidP="007679D7">
      <w:pPr>
        <w:pStyle w:val="NormalWeb"/>
      </w:pPr>
      <w:proofErr w:type="spellStart"/>
      <w:r w:rsidRPr="00DD0775">
        <w:t>Sobiech</w:t>
      </w:r>
      <w:proofErr w:type="spellEnd"/>
      <w:r w:rsidRPr="00DD0775">
        <w:t xml:space="preserve">, I. (2019, January). Remittances, finance and growth: Does financial development foster the impact of remittances on economic growth? </w:t>
      </w:r>
      <w:r w:rsidRPr="00DD0775">
        <w:rPr>
          <w:i/>
          <w:iCs/>
        </w:rPr>
        <w:t>World Development</w:t>
      </w:r>
      <w:r w:rsidRPr="00DD0775">
        <w:t xml:space="preserve">, </w:t>
      </w:r>
      <w:r w:rsidRPr="00DD0775">
        <w:rPr>
          <w:i/>
          <w:iCs/>
        </w:rPr>
        <w:t>113</w:t>
      </w:r>
      <w:r w:rsidRPr="00DD0775">
        <w:t>, 44–59. https://doi.org/10.1016/j.worlddev.2018.08.016</w:t>
      </w:r>
    </w:p>
    <w:p w14:paraId="25321897" w14:textId="77777777" w:rsidR="007679D7" w:rsidRPr="00DD0775" w:rsidRDefault="007679D7" w:rsidP="007679D7">
      <w:pPr>
        <w:pStyle w:val="NormalWeb"/>
      </w:pPr>
      <w:proofErr w:type="spellStart"/>
      <w:r w:rsidRPr="00DD0775">
        <w:t>Soumaré</w:t>
      </w:r>
      <w:proofErr w:type="spellEnd"/>
      <w:r w:rsidRPr="00DD0775">
        <w:t xml:space="preserve">, I., &amp; </w:t>
      </w:r>
      <w:proofErr w:type="spellStart"/>
      <w:r w:rsidRPr="00DD0775">
        <w:t>Tchana</w:t>
      </w:r>
      <w:proofErr w:type="spellEnd"/>
      <w:r w:rsidRPr="00DD0775">
        <w:t>, F. T. (2015). Causality and external validity: Causality between FDI and financial market development: Evidence from emerging markets. World Bank Economic Review, 29, 205–216.</w:t>
      </w:r>
    </w:p>
    <w:p w14:paraId="0DE6224A" w14:textId="77777777" w:rsidR="007679D7" w:rsidRPr="00DD0775" w:rsidRDefault="007679D7" w:rsidP="007679D7">
      <w:pPr>
        <w:pStyle w:val="NormalWeb"/>
      </w:pPr>
      <w:r w:rsidRPr="00DD0775">
        <w:t xml:space="preserve">Sumner, J. (2005, June). Powering the porter brewery. </w:t>
      </w:r>
      <w:r w:rsidRPr="00DD0775">
        <w:rPr>
          <w:i/>
          <w:iCs/>
        </w:rPr>
        <w:t>Endeavour</w:t>
      </w:r>
      <w:r w:rsidRPr="00DD0775">
        <w:t xml:space="preserve">, </w:t>
      </w:r>
      <w:r w:rsidRPr="00DD0775">
        <w:rPr>
          <w:i/>
          <w:iCs/>
        </w:rPr>
        <w:t>29</w:t>
      </w:r>
      <w:r w:rsidRPr="00DD0775">
        <w:t>(2), 72–77. https://doi.org/10.1016/j.endeavour.2005.04.001</w:t>
      </w:r>
    </w:p>
    <w:p w14:paraId="50BE24A8" w14:textId="77777777" w:rsidR="007679D7" w:rsidRPr="00DD0775" w:rsidRDefault="007679D7" w:rsidP="007679D7">
      <w:pPr>
        <w:pStyle w:val="NormalWeb"/>
      </w:pPr>
      <w:r w:rsidRPr="00DD0775">
        <w:t xml:space="preserve">Tiwari, A. K., &amp; </w:t>
      </w:r>
      <w:proofErr w:type="spellStart"/>
      <w:r w:rsidRPr="00DD0775">
        <w:t>Mutascu</w:t>
      </w:r>
      <w:proofErr w:type="spellEnd"/>
      <w:r w:rsidRPr="00DD0775">
        <w:t xml:space="preserve">, M. (2011, September). Economic Growth and FDI in Asia: A Panel-Data Approach. </w:t>
      </w:r>
      <w:r w:rsidRPr="00DD0775">
        <w:rPr>
          <w:i/>
          <w:iCs/>
        </w:rPr>
        <w:t>Economic Analysis and Policy</w:t>
      </w:r>
      <w:r w:rsidRPr="00DD0775">
        <w:t xml:space="preserve">, </w:t>
      </w:r>
      <w:r w:rsidRPr="00DD0775">
        <w:rPr>
          <w:i/>
          <w:iCs/>
        </w:rPr>
        <w:t>41</w:t>
      </w:r>
      <w:r w:rsidRPr="00DD0775">
        <w:t xml:space="preserve">(2), 173–187. </w:t>
      </w:r>
      <w:hyperlink r:id="rId22" w:history="1">
        <w:r w:rsidRPr="00DD0775">
          <w:rPr>
            <w:rStyle w:val="Hyperlink"/>
            <w:rFonts w:eastAsiaTheme="majorEastAsia"/>
          </w:rPr>
          <w:t>https://doi.org/10.1016/s0313-5926(11)50018-9</w:t>
        </w:r>
      </w:hyperlink>
    </w:p>
    <w:p w14:paraId="29912E94" w14:textId="77777777" w:rsidR="007679D7" w:rsidRPr="00DD0775" w:rsidRDefault="007679D7" w:rsidP="007679D7">
      <w:pPr>
        <w:pStyle w:val="NormalWeb"/>
      </w:pPr>
      <w:r w:rsidRPr="00DD0775">
        <w:t xml:space="preserve">Tran, Q. T., Huynh, N., &amp; Huynh, N. A. (2022). Can Insurance Ensure Economic Growth? New Evidence </w:t>
      </w:r>
      <w:proofErr w:type="gramStart"/>
      <w:r w:rsidRPr="00DD0775">
        <w:t>From</w:t>
      </w:r>
      <w:proofErr w:type="gramEnd"/>
      <w:r w:rsidRPr="00DD0775">
        <w:t xml:space="preserve"> Asymmetric ARDL In A Frontier Economy. </w:t>
      </w:r>
      <w:r w:rsidRPr="00DD0775">
        <w:rPr>
          <w:i/>
          <w:iCs/>
        </w:rPr>
        <w:t>SSRN Electronic Journal</w:t>
      </w:r>
      <w:r w:rsidRPr="00DD0775">
        <w:t>. https://doi.org/10.2139/ssrn.4121938</w:t>
      </w:r>
    </w:p>
    <w:p w14:paraId="41B4ACAC" w14:textId="77777777" w:rsidR="007679D7" w:rsidRPr="00DD0775" w:rsidRDefault="007679D7" w:rsidP="007679D7">
      <w:pPr>
        <w:pStyle w:val="NormalWeb"/>
      </w:pPr>
      <w:r w:rsidRPr="00DD0775">
        <w:t>WDI (2022), “World Development Indicators, 2022”, The World Bank, Washington, DC</w:t>
      </w:r>
    </w:p>
    <w:p w14:paraId="4B511235" w14:textId="77777777" w:rsidR="007679D7" w:rsidRPr="00DD0775" w:rsidRDefault="007679D7" w:rsidP="007679D7">
      <w:pPr>
        <w:pStyle w:val="NormalWeb"/>
      </w:pPr>
      <w:r w:rsidRPr="00DD0775">
        <w:t xml:space="preserve">Wong, K. N., &amp; Tang, T. C. (2011, March). Exchange rate variability and the export demand for Malaysia’s semiconductors: an empirical study. </w:t>
      </w:r>
      <w:r w:rsidRPr="00DD0775">
        <w:rPr>
          <w:i/>
          <w:iCs/>
        </w:rPr>
        <w:t>Applied Economics</w:t>
      </w:r>
      <w:r w:rsidRPr="00DD0775">
        <w:t xml:space="preserve">, </w:t>
      </w:r>
      <w:r w:rsidRPr="00DD0775">
        <w:rPr>
          <w:i/>
          <w:iCs/>
        </w:rPr>
        <w:t>43</w:t>
      </w:r>
      <w:r w:rsidRPr="00DD0775">
        <w:t>(6), 695–706. https://doi.org/10.1080/00036840802599917</w:t>
      </w:r>
    </w:p>
    <w:p w14:paraId="00345F4A" w14:textId="77777777" w:rsidR="007679D7" w:rsidRPr="00DD0775" w:rsidRDefault="007679D7" w:rsidP="007679D7">
      <w:pPr>
        <w:pStyle w:val="NormalWeb"/>
      </w:pPr>
      <w:r w:rsidRPr="00DD0775">
        <w:t xml:space="preserve">Xu, Z. (2000, April). Financial development, investment, and economic growth. </w:t>
      </w:r>
      <w:r w:rsidRPr="00DD0775">
        <w:rPr>
          <w:i/>
          <w:iCs/>
        </w:rPr>
        <w:t>Economic Inquiry</w:t>
      </w:r>
      <w:r w:rsidRPr="00DD0775">
        <w:t xml:space="preserve">, </w:t>
      </w:r>
      <w:r w:rsidRPr="00DD0775">
        <w:rPr>
          <w:i/>
          <w:iCs/>
        </w:rPr>
        <w:t>38</w:t>
      </w:r>
      <w:r w:rsidRPr="00DD0775">
        <w:t xml:space="preserve">(2), 331–344. </w:t>
      </w:r>
      <w:hyperlink r:id="rId23" w:history="1">
        <w:r w:rsidRPr="00DD0775">
          <w:rPr>
            <w:rStyle w:val="Hyperlink"/>
            <w:rFonts w:eastAsiaTheme="majorEastAsia"/>
          </w:rPr>
          <w:t>https://doi.org/10.1111/j.1465-7295.2000.tb00021.x</w:t>
        </w:r>
      </w:hyperlink>
    </w:p>
    <w:p w14:paraId="55C1476C" w14:textId="743839CD" w:rsidR="00955AD2" w:rsidRPr="00EA4C18" w:rsidRDefault="00955AD2" w:rsidP="00F208DD">
      <w:pPr>
        <w:spacing w:before="120" w:after="120" w:line="360" w:lineRule="auto"/>
        <w:jc w:val="both"/>
        <w:rPr>
          <w:rFonts w:ascii="Times New Roman" w:hAnsi="Times New Roman"/>
          <w:b/>
          <w:color w:val="000000"/>
          <w:sz w:val="24"/>
          <w:szCs w:val="24"/>
          <w:lang w:val="en-US"/>
        </w:rPr>
      </w:pPr>
    </w:p>
    <w:p w14:paraId="3E78497A" w14:textId="6AB22989" w:rsidR="001D061A" w:rsidRPr="001D061A" w:rsidRDefault="00EA4C18" w:rsidP="00DD0775">
      <w:pPr>
        <w:spacing w:line="360" w:lineRule="auto"/>
        <w:jc w:val="both"/>
        <w:rPr>
          <w:rFonts w:ascii="Times New Roman" w:eastAsia="Times New Roman" w:hAnsi="Times New Roman"/>
          <w:bCs/>
          <w:sz w:val="24"/>
          <w:szCs w:val="24"/>
          <w:lang w:val="en-US"/>
        </w:rPr>
      </w:pPr>
      <w:r>
        <w:rPr>
          <w:rFonts w:ascii="Times New Roman" w:eastAsia="Times New Roman" w:hAnsi="Times New Roman"/>
          <w:sz w:val="24"/>
          <w:szCs w:val="24"/>
          <w:lang w:val="en-US"/>
        </w:rPr>
        <w:t xml:space="preserve">        </w:t>
      </w:r>
    </w:p>
    <w:p w14:paraId="073AC73B" w14:textId="77777777" w:rsidR="003F0C90" w:rsidRPr="003F0C90" w:rsidRDefault="003F0C90" w:rsidP="0067253D">
      <w:pPr>
        <w:spacing w:line="240" w:lineRule="auto"/>
        <w:rPr>
          <w:b/>
          <w:bCs/>
          <w:szCs w:val="24"/>
          <w:lang w:val="en-US"/>
        </w:rPr>
      </w:pPr>
    </w:p>
    <w:sectPr w:rsidR="003F0C90" w:rsidRPr="003F0C90" w:rsidSect="0067253D">
      <w:footerReference w:type="default" r:id="rId24"/>
      <w:pgSz w:w="12240" w:h="15840"/>
      <w:pgMar w:top="1418"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E6F0" w14:textId="77777777" w:rsidR="0022166F" w:rsidRDefault="0022166F" w:rsidP="0083540D">
      <w:pPr>
        <w:spacing w:after="0" w:line="240" w:lineRule="auto"/>
      </w:pPr>
      <w:r>
        <w:separator/>
      </w:r>
    </w:p>
  </w:endnote>
  <w:endnote w:type="continuationSeparator" w:id="0">
    <w:p w14:paraId="7A1F76F0" w14:textId="77777777" w:rsidR="0022166F" w:rsidRDefault="0022166F" w:rsidP="0083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S Me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26245313"/>
  <w:bookmarkStart w:id="2" w:name="_Hlk126245314"/>
  <w:p w14:paraId="4021A3D4" w14:textId="70A397CA" w:rsidR="008969A0" w:rsidRDefault="00FB11B6">
    <w:r w:rsidRPr="0083540D">
      <w:rPr>
        <w:rFonts w:ascii="Times New Roman" w:hAnsi="Times New Roman"/>
        <w:noProof/>
      </w:rPr>
      <mc:AlternateContent>
        <mc:Choice Requires="wps">
          <w:drawing>
            <wp:anchor distT="0" distB="0" distL="114300" distR="114300" simplePos="0" relativeHeight="251661312" behindDoc="0" locked="0" layoutInCell="1" allowOverlap="1" wp14:anchorId="1C7E2998" wp14:editId="49F959A8">
              <wp:simplePos x="0" y="0"/>
              <wp:positionH relativeFrom="margin">
                <wp:align>center</wp:align>
              </wp:positionH>
              <wp:positionV relativeFrom="paragraph">
                <wp:posOffset>-123825</wp:posOffset>
              </wp:positionV>
              <wp:extent cx="7021919" cy="38100"/>
              <wp:effectExtent l="38100" t="38100" r="64770" b="95250"/>
              <wp:wrapNone/>
              <wp:docPr id="3" name="Straight Connector 3"/>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42D18" id="Straight Connector 3"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552.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" strokecolor="black [3200]" strokeweight="2pt">
              <v:shadow on="t" color="black" opacity="24903f" origin=",.5" offset="0,.55556mm"/>
              <w10:wrap anchorx="margin"/>
            </v:line>
          </w:pict>
        </mc:Fallback>
      </mc:AlternateContent>
    </w:r>
    <w:bookmarkStart w:id="3" w:name="_Hlk126169553"/>
    <w:r w:rsidR="00CB3A1B">
      <w:rPr>
        <w:rFonts w:ascii="Times New Roman" w:hAnsi="Times New Roman"/>
        <w:i/>
        <w:sz w:val="26"/>
        <w:szCs w:val="26"/>
        <w:lang w:val="en-US"/>
      </w:rPr>
      <w:t>*</w:t>
    </w:r>
    <w:r w:rsidR="008969A0" w:rsidRPr="00326860">
      <w:rPr>
        <w:rFonts w:ascii="Times New Roman" w:hAnsi="Times New Roman"/>
        <w:i/>
        <w:sz w:val="26"/>
        <w:szCs w:val="26"/>
        <w:lang w:val="en-US"/>
      </w:rPr>
      <w:t xml:space="preserve">Corresponding author E-mail address: </w:t>
    </w:r>
    <w:bookmarkEnd w:id="3"/>
    <w:r w:rsidR="00DD0775">
      <w:rPr>
        <w:rStyle w:val="Heading2Char"/>
        <w:rFonts w:ascii="Times New Roman" w:hAnsi="Times New Roman"/>
        <w:lang w:val="en-US"/>
      </w:rPr>
      <w:fldChar w:fldCharType="begin"/>
    </w:r>
    <w:r w:rsidR="00DD0775">
      <w:rPr>
        <w:rStyle w:val="Heading2Char"/>
        <w:rFonts w:ascii="Times New Roman" w:hAnsi="Times New Roman"/>
        <w:lang w:val="en-US"/>
      </w:rPr>
      <w:instrText xml:space="preserve"> HYPERLINK "mailto:</w:instrText>
    </w:r>
    <w:r w:rsidR="00DD0775" w:rsidRPr="00DD0775">
      <w:rPr>
        <w:rStyle w:val="Heading2Char"/>
        <w:rFonts w:ascii="Times New Roman" w:hAnsi="Times New Roman"/>
        <w:lang w:val="en-US"/>
      </w:rPr>
      <w:instrText>tea@ibsu.edu.ge</w:instrText>
    </w:r>
    <w:r w:rsidR="00DD0775">
      <w:rPr>
        <w:rStyle w:val="Heading2Char"/>
        <w:rFonts w:ascii="Times New Roman" w:hAnsi="Times New Roman"/>
        <w:lang w:val="en-US"/>
      </w:rPr>
      <w:instrText xml:space="preserve">" </w:instrText>
    </w:r>
    <w:r w:rsidR="00DD0775">
      <w:rPr>
        <w:rStyle w:val="Heading2Char"/>
        <w:rFonts w:ascii="Times New Roman" w:hAnsi="Times New Roman"/>
        <w:lang w:val="en-US"/>
      </w:rPr>
      <w:fldChar w:fldCharType="separate"/>
    </w:r>
    <w:r w:rsidR="00DD0775" w:rsidRPr="0012691D">
      <w:rPr>
        <w:rStyle w:val="Hyperlink"/>
        <w:rFonts w:ascii="Times New Roman" w:eastAsiaTheme="majorEastAsia" w:hAnsi="Times New Roman" w:cstheme="majorBidi"/>
        <w:sz w:val="26"/>
        <w:szCs w:val="26"/>
        <w:lang w:val="en-US"/>
      </w:rPr>
      <w:t>tea@ibsu.edu.ge</w:t>
    </w:r>
    <w:r w:rsidR="00DD0775">
      <w:rPr>
        <w:rStyle w:val="Heading2Char"/>
        <w:rFonts w:ascii="Times New Roman" w:hAnsi="Times New Roman"/>
        <w:lang w:val="en-US"/>
      </w:rPr>
      <w:fldChar w:fldCharType="end"/>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656568"/>
      <w:docPartObj>
        <w:docPartGallery w:val="Page Numbers (Bottom of Page)"/>
        <w:docPartUnique/>
      </w:docPartObj>
    </w:sdtPr>
    <w:sdtEndPr>
      <w:rPr>
        <w:noProof/>
      </w:rPr>
    </w:sdtEndPr>
    <w:sdtContent>
      <w:p w14:paraId="5F678806" w14:textId="4AD65296" w:rsidR="00BF2688" w:rsidRDefault="00BF2688">
        <w:pPr>
          <w:jc w:val="right"/>
        </w:pPr>
        <w:r>
          <w:fldChar w:fldCharType="begin"/>
        </w:r>
        <w:r>
          <w:instrText xml:space="preserve"> PAGE   \* MERGEFORMAT </w:instrText>
        </w:r>
        <w:r>
          <w:fldChar w:fldCharType="separate"/>
        </w:r>
        <w:r>
          <w:rPr>
            <w:noProof/>
          </w:rPr>
          <w:t>2</w:t>
        </w:r>
        <w:r>
          <w:rPr>
            <w:noProof/>
          </w:rPr>
          <w:fldChar w:fldCharType="end"/>
        </w:r>
      </w:p>
    </w:sdtContent>
  </w:sdt>
  <w:p w14:paraId="4CF7E1DC" w14:textId="77777777" w:rsidR="00BF2688" w:rsidRDefault="00BF26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24A0" w14:textId="6839EB08" w:rsidR="00A473FE" w:rsidRPr="001F556A" w:rsidRDefault="00A473FE" w:rsidP="001F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0CDF" w14:textId="77777777" w:rsidR="0022166F" w:rsidRDefault="0022166F" w:rsidP="0083540D">
      <w:pPr>
        <w:spacing w:after="0" w:line="240" w:lineRule="auto"/>
      </w:pPr>
      <w:r>
        <w:separator/>
      </w:r>
    </w:p>
  </w:footnote>
  <w:footnote w:type="continuationSeparator" w:id="0">
    <w:p w14:paraId="383F228F" w14:textId="77777777" w:rsidR="0022166F" w:rsidRDefault="0022166F" w:rsidP="0083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628" w14:textId="485062BD" w:rsidR="0083540D" w:rsidRPr="00625DD0" w:rsidRDefault="00DD0775" w:rsidP="00625DD0">
    <w:pPr>
      <w:jc w:val="both"/>
      <w:rPr>
        <w:rFonts w:ascii="Times New Roman" w:hAnsi="Times New Roman"/>
        <w:noProof/>
        <w:sz w:val="20"/>
        <w:szCs w:val="20"/>
        <w:lang w:val="en-US"/>
      </w:rPr>
    </w:pPr>
    <w:proofErr w:type="spellStart"/>
    <w:r>
      <w:rPr>
        <w:rFonts w:ascii="Times New Roman" w:hAnsi="Times New Roman"/>
        <w:sz w:val="20"/>
        <w:szCs w:val="20"/>
        <w:lang w:val="en-US"/>
      </w:rPr>
      <w:t>Kbiltsetskhlashvili</w:t>
    </w:r>
    <w:proofErr w:type="spellEnd"/>
    <w:r>
      <w:rPr>
        <w:rFonts w:ascii="Times New Roman" w:hAnsi="Times New Roman"/>
        <w:sz w:val="20"/>
        <w:szCs w:val="20"/>
        <w:lang w:val="en-US"/>
      </w:rPr>
      <w:t>, T.</w:t>
    </w:r>
    <w:r w:rsidR="00CB3A1B">
      <w:rPr>
        <w:rFonts w:ascii="Times New Roman" w:hAnsi="Times New Roman"/>
        <w:sz w:val="20"/>
        <w:szCs w:val="20"/>
        <w:lang w:val="en-US"/>
      </w:rPr>
      <w:t xml:space="preserve"> </w:t>
    </w:r>
    <w:r w:rsidR="003F0C90" w:rsidRPr="00625DD0">
      <w:rPr>
        <w:rFonts w:ascii="Times New Roman" w:hAnsi="Times New Roman"/>
        <w:sz w:val="20"/>
        <w:szCs w:val="20"/>
        <w:lang w:val="en-US"/>
      </w:rPr>
      <w:t xml:space="preserve">&amp; </w:t>
    </w:r>
    <w:proofErr w:type="spellStart"/>
    <w:r w:rsidR="003F0C90" w:rsidRPr="00625DD0">
      <w:rPr>
        <w:rFonts w:ascii="Times New Roman" w:hAnsi="Times New Roman"/>
        <w:sz w:val="20"/>
        <w:szCs w:val="20"/>
        <w:lang w:val="en-US"/>
      </w:rPr>
      <w:t>Mercan</w:t>
    </w:r>
    <w:proofErr w:type="spellEnd"/>
    <w:r w:rsidR="003F0C90" w:rsidRPr="00625DD0">
      <w:rPr>
        <w:rFonts w:ascii="Times New Roman" w:hAnsi="Times New Roman"/>
        <w:sz w:val="20"/>
        <w:szCs w:val="20"/>
        <w:lang w:val="en-US"/>
      </w:rPr>
      <w:t>, M.</w:t>
    </w:r>
    <w:r w:rsidR="0083540D" w:rsidRPr="00625DD0">
      <w:rPr>
        <w:rFonts w:ascii="Times New Roman" w:hAnsi="Times New Roman"/>
        <w:sz w:val="20"/>
        <w:szCs w:val="20"/>
      </w:rPr>
      <w:t xml:space="preserve"> / Journal of Business; ISSN: 2233-369X; e-ISSN: 2346-8297; Volume 12, Issue </w:t>
    </w:r>
    <w:r w:rsidR="003F0C90" w:rsidRPr="00625DD0">
      <w:rPr>
        <w:rFonts w:ascii="Times New Roman" w:hAnsi="Times New Roman"/>
        <w:sz w:val="20"/>
        <w:szCs w:val="20"/>
        <w:lang w:val="en-US"/>
      </w:rPr>
      <w:t>1</w:t>
    </w:r>
    <w:r w:rsidR="0083540D" w:rsidRPr="00625DD0">
      <w:rPr>
        <w:rFonts w:ascii="Times New Roman" w:hAnsi="Times New Roman"/>
        <w:sz w:val="20"/>
        <w:szCs w:val="20"/>
      </w:rPr>
      <w:t>, 202</w:t>
    </w:r>
    <w:r w:rsidR="003F0C90" w:rsidRPr="00625DD0">
      <w:rPr>
        <w:rFonts w:ascii="Times New Roman" w:hAnsi="Times New Roman"/>
        <w:sz w:val="20"/>
        <w:szCs w:val="20"/>
        <w:lang w:val="en-US"/>
      </w:rPr>
      <w:t>3</w:t>
    </w:r>
  </w:p>
  <w:p w14:paraId="783F8E88" w14:textId="0EBF5942" w:rsidR="0083540D" w:rsidRPr="0083540D" w:rsidRDefault="0083540D" w:rsidP="0083540D">
    <w:pPr>
      <w:jc w:val="center"/>
      <w:rPr>
        <w:rFonts w:ascii="Times New Roman" w:hAnsi="Times New Roman"/>
      </w:rPr>
    </w:pPr>
    <w:r w:rsidRPr="0083540D">
      <w:rPr>
        <w:rFonts w:ascii="Times New Roman" w:hAnsi="Times New Roman"/>
        <w:noProof/>
      </w:rPr>
      <mc:AlternateContent>
        <mc:Choice Requires="wps">
          <w:drawing>
            <wp:anchor distT="0" distB="0" distL="114300" distR="114300" simplePos="0" relativeHeight="251659264" behindDoc="0" locked="0" layoutInCell="1" allowOverlap="1" wp14:anchorId="5D716608" wp14:editId="05F180D6">
              <wp:simplePos x="0" y="0"/>
              <wp:positionH relativeFrom="margin">
                <wp:align>left</wp:align>
              </wp:positionH>
              <wp:positionV relativeFrom="paragraph">
                <wp:posOffset>80246</wp:posOffset>
              </wp:positionV>
              <wp:extent cx="7021919" cy="38100"/>
              <wp:effectExtent l="38100" t="38100" r="64770" b="95250"/>
              <wp:wrapNone/>
              <wp:docPr id="2" name="Straight Connector 2"/>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39EE2"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552.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" strokecolor="black [3200]" strokeweight="2pt">
              <v:shadow on="t" color="black" opacity="24903f" origin=",.5" offset="0,.55556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2B3" w14:textId="344BA980" w:rsidR="00261F2A" w:rsidRPr="00625DD0" w:rsidRDefault="00DD0775" w:rsidP="00261F2A">
    <w:pPr>
      <w:jc w:val="center"/>
      <w:rPr>
        <w:rFonts w:ascii="Times New Roman" w:hAnsi="Times New Roman"/>
        <w:noProof/>
        <w:sz w:val="20"/>
        <w:szCs w:val="20"/>
        <w:lang w:val="en-US"/>
      </w:rPr>
    </w:pPr>
    <w:proofErr w:type="spellStart"/>
    <w:r>
      <w:rPr>
        <w:rFonts w:ascii="Times New Roman" w:hAnsi="Times New Roman"/>
        <w:sz w:val="20"/>
        <w:szCs w:val="20"/>
        <w:lang w:val="en-US"/>
      </w:rPr>
      <w:t>Kbiltsetskhlashvili</w:t>
    </w:r>
    <w:proofErr w:type="spellEnd"/>
    <w:r>
      <w:rPr>
        <w:rFonts w:ascii="Times New Roman" w:hAnsi="Times New Roman"/>
        <w:sz w:val="20"/>
        <w:szCs w:val="20"/>
        <w:lang w:val="en-US"/>
      </w:rPr>
      <w:t>.,</w:t>
    </w:r>
    <w:r>
      <w:rPr>
        <w:rFonts w:ascii="Times New Roman" w:hAnsi="Times New Roman"/>
        <w:sz w:val="20"/>
        <w:szCs w:val="20"/>
        <w:lang w:val="en-US"/>
      </w:rPr>
      <w:t xml:space="preserve"> </w:t>
    </w:r>
    <w:r>
      <w:rPr>
        <w:rFonts w:ascii="Times New Roman" w:hAnsi="Times New Roman"/>
        <w:sz w:val="20"/>
        <w:szCs w:val="20"/>
        <w:lang w:val="en-US"/>
      </w:rPr>
      <w:t>T</w:t>
    </w:r>
    <w:r w:rsidR="00625DD0" w:rsidRPr="00625DD0">
      <w:rPr>
        <w:rFonts w:ascii="Times New Roman" w:hAnsi="Times New Roman"/>
        <w:sz w:val="20"/>
        <w:szCs w:val="20"/>
        <w:lang w:val="en-US"/>
      </w:rPr>
      <w:t>.</w:t>
    </w:r>
    <w:r>
      <w:rPr>
        <w:rFonts w:ascii="Times New Roman" w:hAnsi="Times New Roman"/>
        <w:sz w:val="20"/>
        <w:szCs w:val="20"/>
        <w:lang w:val="en-US"/>
      </w:rPr>
      <w:t xml:space="preserve"> </w:t>
    </w:r>
    <w:r w:rsidR="00625DD0" w:rsidRPr="00625DD0">
      <w:rPr>
        <w:rFonts w:ascii="Times New Roman" w:hAnsi="Times New Roman"/>
        <w:sz w:val="20"/>
        <w:szCs w:val="20"/>
        <w:lang w:val="en-US"/>
      </w:rPr>
      <w:t xml:space="preserve">&amp; </w:t>
    </w:r>
    <w:proofErr w:type="spellStart"/>
    <w:r w:rsidR="00625DD0" w:rsidRPr="00625DD0">
      <w:rPr>
        <w:rFonts w:ascii="Times New Roman" w:hAnsi="Times New Roman"/>
        <w:sz w:val="20"/>
        <w:szCs w:val="20"/>
        <w:lang w:val="en-US"/>
      </w:rPr>
      <w:t>Mercan</w:t>
    </w:r>
    <w:proofErr w:type="spellEnd"/>
    <w:r w:rsidR="00625DD0" w:rsidRPr="00625DD0">
      <w:rPr>
        <w:rFonts w:ascii="Times New Roman" w:hAnsi="Times New Roman"/>
        <w:sz w:val="20"/>
        <w:szCs w:val="20"/>
        <w:lang w:val="en-US"/>
      </w:rPr>
      <w:t>, M.</w:t>
    </w:r>
    <w:r w:rsidR="00625DD0" w:rsidRPr="00625DD0">
      <w:rPr>
        <w:rFonts w:ascii="Times New Roman" w:hAnsi="Times New Roman"/>
        <w:sz w:val="20"/>
        <w:szCs w:val="20"/>
      </w:rPr>
      <w:t xml:space="preserve"> </w:t>
    </w:r>
    <w:r w:rsidR="00261F2A" w:rsidRPr="00625DD0">
      <w:rPr>
        <w:rFonts w:ascii="Times New Roman" w:hAnsi="Times New Roman"/>
        <w:sz w:val="20"/>
        <w:szCs w:val="20"/>
      </w:rPr>
      <w:t xml:space="preserve">/ Journal of Business; ISSN: 2233-369X; e-ISSN: 2346-8297; Volume 12, Issue </w:t>
    </w:r>
    <w:r w:rsidR="00625DD0" w:rsidRPr="00625DD0">
      <w:rPr>
        <w:rFonts w:ascii="Times New Roman" w:hAnsi="Times New Roman"/>
        <w:sz w:val="20"/>
        <w:szCs w:val="20"/>
        <w:lang w:val="en-US"/>
      </w:rPr>
      <w:t>1</w:t>
    </w:r>
    <w:r w:rsidR="00261F2A" w:rsidRPr="00625DD0">
      <w:rPr>
        <w:rFonts w:ascii="Times New Roman" w:hAnsi="Times New Roman"/>
        <w:sz w:val="20"/>
        <w:szCs w:val="20"/>
      </w:rPr>
      <w:t>, 202</w:t>
    </w:r>
    <w:r w:rsidR="00625DD0" w:rsidRPr="00625DD0">
      <w:rPr>
        <w:rFonts w:ascii="Times New Roman" w:hAnsi="Times New Roman"/>
        <w:sz w:val="20"/>
        <w:szCs w:val="20"/>
        <w:lang w:val="en-US"/>
      </w:rPr>
      <w:t>3</w:t>
    </w:r>
  </w:p>
  <w:p w14:paraId="45C7DD4C" w14:textId="5CA08026" w:rsidR="00261F2A" w:rsidRDefault="00261F2A">
    <w:r w:rsidRPr="0083540D">
      <w:rPr>
        <w:rFonts w:ascii="Times New Roman" w:hAnsi="Times New Roman"/>
        <w:noProof/>
      </w:rPr>
      <mc:AlternateContent>
        <mc:Choice Requires="wps">
          <w:drawing>
            <wp:anchor distT="0" distB="0" distL="114300" distR="114300" simplePos="0" relativeHeight="251663360" behindDoc="0" locked="0" layoutInCell="1" allowOverlap="1" wp14:anchorId="57D69052" wp14:editId="5D6B6F95">
              <wp:simplePos x="0" y="0"/>
              <wp:positionH relativeFrom="margin">
                <wp:posOffset>0</wp:posOffset>
              </wp:positionH>
              <wp:positionV relativeFrom="paragraph">
                <wp:posOffset>37465</wp:posOffset>
              </wp:positionV>
              <wp:extent cx="7021919" cy="38100"/>
              <wp:effectExtent l="38100" t="38100" r="64770" b="95250"/>
              <wp:wrapNone/>
              <wp:docPr id="1" name="Straight Connector 1"/>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CB9B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52.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" strokecolor="black [3200]"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C6F"/>
    <w:multiLevelType w:val="multilevel"/>
    <w:tmpl w:val="8F04255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51804"/>
    <w:multiLevelType w:val="multilevel"/>
    <w:tmpl w:val="0DE42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640E83"/>
    <w:multiLevelType w:val="hybridMultilevel"/>
    <w:tmpl w:val="7976308C"/>
    <w:lvl w:ilvl="0" w:tplc="3B103196">
      <w:start w:val="1"/>
      <w:numFmt w:val="lowerRoman"/>
      <w:lvlText w:val="%1."/>
      <w:lvlJc w:val="left"/>
      <w:pPr>
        <w:ind w:left="1080" w:hanging="720"/>
      </w:pPr>
      <w:rPr>
        <w:rFonts w:hint="default"/>
      </w:rPr>
    </w:lvl>
    <w:lvl w:ilvl="1" w:tplc="D8BC44B4" w:tentative="1">
      <w:start w:val="1"/>
      <w:numFmt w:val="lowerLetter"/>
      <w:lvlText w:val="%2."/>
      <w:lvlJc w:val="left"/>
      <w:pPr>
        <w:ind w:left="1440" w:hanging="360"/>
      </w:pPr>
    </w:lvl>
    <w:lvl w:ilvl="2" w:tplc="27649476" w:tentative="1">
      <w:start w:val="1"/>
      <w:numFmt w:val="lowerRoman"/>
      <w:lvlText w:val="%3."/>
      <w:lvlJc w:val="right"/>
      <w:pPr>
        <w:ind w:left="2160" w:hanging="180"/>
      </w:pPr>
    </w:lvl>
    <w:lvl w:ilvl="3" w:tplc="1C02D456" w:tentative="1">
      <w:start w:val="1"/>
      <w:numFmt w:val="decimal"/>
      <w:lvlText w:val="%4."/>
      <w:lvlJc w:val="left"/>
      <w:pPr>
        <w:ind w:left="2880" w:hanging="360"/>
      </w:pPr>
    </w:lvl>
    <w:lvl w:ilvl="4" w:tplc="6924E8C6" w:tentative="1">
      <w:start w:val="1"/>
      <w:numFmt w:val="lowerLetter"/>
      <w:lvlText w:val="%5."/>
      <w:lvlJc w:val="left"/>
      <w:pPr>
        <w:ind w:left="3600" w:hanging="360"/>
      </w:pPr>
    </w:lvl>
    <w:lvl w:ilvl="5" w:tplc="91108DD6" w:tentative="1">
      <w:start w:val="1"/>
      <w:numFmt w:val="lowerRoman"/>
      <w:lvlText w:val="%6."/>
      <w:lvlJc w:val="right"/>
      <w:pPr>
        <w:ind w:left="4320" w:hanging="180"/>
      </w:pPr>
    </w:lvl>
    <w:lvl w:ilvl="6" w:tplc="B1AA5F5A" w:tentative="1">
      <w:start w:val="1"/>
      <w:numFmt w:val="decimal"/>
      <w:lvlText w:val="%7."/>
      <w:lvlJc w:val="left"/>
      <w:pPr>
        <w:ind w:left="5040" w:hanging="360"/>
      </w:pPr>
    </w:lvl>
    <w:lvl w:ilvl="7" w:tplc="717050B2" w:tentative="1">
      <w:start w:val="1"/>
      <w:numFmt w:val="lowerLetter"/>
      <w:lvlText w:val="%8."/>
      <w:lvlJc w:val="left"/>
      <w:pPr>
        <w:ind w:left="5760" w:hanging="360"/>
      </w:pPr>
    </w:lvl>
    <w:lvl w:ilvl="8" w:tplc="27A8E5EA" w:tentative="1">
      <w:start w:val="1"/>
      <w:numFmt w:val="lowerRoman"/>
      <w:lvlText w:val="%9."/>
      <w:lvlJc w:val="right"/>
      <w:pPr>
        <w:ind w:left="6480" w:hanging="180"/>
      </w:pPr>
    </w:lvl>
  </w:abstractNum>
  <w:abstractNum w:abstractNumId="3" w15:restartNumberingAfterBreak="0">
    <w:nsid w:val="1BE73461"/>
    <w:multiLevelType w:val="multilevel"/>
    <w:tmpl w:val="9488AC18"/>
    <w:lvl w:ilvl="0">
      <w:start w:val="2"/>
      <w:numFmt w:val="decimal"/>
      <w:lvlText w:val="%1"/>
      <w:lvlJc w:val="left"/>
      <w:pPr>
        <w:ind w:left="360" w:hanging="360"/>
      </w:pPr>
      <w:rPr>
        <w:rFonts w:asciiTheme="minorHAnsi" w:hAnsiTheme="minorHAnsi" w:hint="default"/>
      </w:rPr>
    </w:lvl>
    <w:lvl w:ilvl="1">
      <w:start w:val="4"/>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2880" w:hanging="72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4680" w:hanging="108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480" w:hanging="144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4" w15:restartNumberingAfterBreak="0">
    <w:nsid w:val="1C995622"/>
    <w:multiLevelType w:val="multilevel"/>
    <w:tmpl w:val="30E8A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A54EA"/>
    <w:multiLevelType w:val="hybridMultilevel"/>
    <w:tmpl w:val="56B83952"/>
    <w:lvl w:ilvl="0" w:tplc="E4D2D53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45749"/>
    <w:multiLevelType w:val="multilevel"/>
    <w:tmpl w:val="86AE3F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15C5B"/>
    <w:multiLevelType w:val="multilevel"/>
    <w:tmpl w:val="B30C7F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725229"/>
    <w:multiLevelType w:val="hybridMultilevel"/>
    <w:tmpl w:val="549081DA"/>
    <w:lvl w:ilvl="0" w:tplc="0409000F">
      <w:start w:val="1"/>
      <w:numFmt w:val="decimal"/>
      <w:lvlText w:val="%1."/>
      <w:lvlJc w:val="left"/>
      <w:pPr>
        <w:ind w:left="720" w:hanging="360"/>
      </w:pPr>
      <w:rPr>
        <w:rFonts w:hint="default"/>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abstractNum w:abstractNumId="9" w15:restartNumberingAfterBreak="0">
    <w:nsid w:val="38B81E07"/>
    <w:multiLevelType w:val="multilevel"/>
    <w:tmpl w:val="BFF491AE"/>
    <w:lvl w:ilvl="0">
      <w:start w:val="1"/>
      <w:numFmt w:val="decimal"/>
      <w:lvlText w:val="%1"/>
      <w:lvlJc w:val="left"/>
      <w:pPr>
        <w:ind w:left="360" w:hanging="360"/>
      </w:pPr>
      <w:rPr>
        <w:rFonts w:asciiTheme="minorHAnsi" w:hAnsiTheme="minorHAnsi"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0" w15:restartNumberingAfterBreak="0">
    <w:nsid w:val="39867CC1"/>
    <w:multiLevelType w:val="multilevel"/>
    <w:tmpl w:val="82CAF1D4"/>
    <w:lvl w:ilvl="0">
      <w:start w:val="2"/>
      <w:numFmt w:val="decimal"/>
      <w:lvlText w:val="%1"/>
      <w:lvlJc w:val="left"/>
      <w:pPr>
        <w:ind w:left="360" w:hanging="360"/>
      </w:pPr>
      <w:rPr>
        <w:rFonts w:eastAsia="Times New Roman" w:hint="default"/>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15:restartNumberingAfterBreak="0">
    <w:nsid w:val="442208AC"/>
    <w:multiLevelType w:val="multilevel"/>
    <w:tmpl w:val="9EC0BB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7906CF"/>
    <w:multiLevelType w:val="hybridMultilevel"/>
    <w:tmpl w:val="862015C6"/>
    <w:lvl w:ilvl="0" w:tplc="8ED03C7A">
      <w:start w:val="1"/>
      <w:numFmt w:val="decimal"/>
      <w:pStyle w:val="appendix"/>
      <w:lvlText w:val="Appendix %1. "/>
      <w:lvlJc w:val="left"/>
      <w:pPr>
        <w:ind w:left="360"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10601"/>
    <w:multiLevelType w:val="hybridMultilevel"/>
    <w:tmpl w:val="6742B564"/>
    <w:lvl w:ilvl="0" w:tplc="7DE40C3A">
      <w:start w:val="1"/>
      <w:numFmt w:val="decimal"/>
      <w:pStyle w:val="Numbering-1"/>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D5C24"/>
    <w:multiLevelType w:val="multilevel"/>
    <w:tmpl w:val="AE20ADD8"/>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2880" w:hanging="72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4680" w:hanging="108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480" w:hanging="144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15" w15:restartNumberingAfterBreak="0">
    <w:nsid w:val="51777EC8"/>
    <w:multiLevelType w:val="multilevel"/>
    <w:tmpl w:val="3DDA4A0E"/>
    <w:lvl w:ilvl="0">
      <w:start w:val="2"/>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6" w15:restartNumberingAfterBreak="0">
    <w:nsid w:val="54906C05"/>
    <w:multiLevelType w:val="multilevel"/>
    <w:tmpl w:val="8D883026"/>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9A37A3"/>
    <w:multiLevelType w:val="hybridMultilevel"/>
    <w:tmpl w:val="6910F8F6"/>
    <w:lvl w:ilvl="0" w:tplc="04090001">
      <w:start w:val="1"/>
      <w:numFmt w:val="bullet"/>
      <w:lvlText w:val=""/>
      <w:lvlJc w:val="left"/>
      <w:pPr>
        <w:ind w:left="720" w:hanging="360"/>
      </w:pPr>
      <w:rPr>
        <w:rFonts w:ascii="Symbol" w:hAnsi="Symbol" w:hint="default"/>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abstractNum w:abstractNumId="18" w15:restartNumberingAfterBreak="0">
    <w:nsid w:val="65954B86"/>
    <w:multiLevelType w:val="hybridMultilevel"/>
    <w:tmpl w:val="A5182820"/>
    <w:lvl w:ilvl="0" w:tplc="0409001B">
      <w:start w:val="1"/>
      <w:numFmt w:val="lowerRoman"/>
      <w:lvlText w:val="%1."/>
      <w:lvlJc w:val="right"/>
      <w:pPr>
        <w:ind w:left="1080" w:hanging="720"/>
      </w:pPr>
      <w:rPr>
        <w:rFonts w:hint="default"/>
      </w:rPr>
    </w:lvl>
    <w:lvl w:ilvl="1" w:tplc="FC328C8C" w:tentative="1">
      <w:start w:val="1"/>
      <w:numFmt w:val="lowerLetter"/>
      <w:lvlText w:val="%2."/>
      <w:lvlJc w:val="left"/>
      <w:pPr>
        <w:ind w:left="1440" w:hanging="360"/>
      </w:pPr>
    </w:lvl>
    <w:lvl w:ilvl="2" w:tplc="3C9C799C" w:tentative="1">
      <w:start w:val="1"/>
      <w:numFmt w:val="lowerRoman"/>
      <w:lvlText w:val="%3."/>
      <w:lvlJc w:val="right"/>
      <w:pPr>
        <w:ind w:left="2160" w:hanging="180"/>
      </w:pPr>
    </w:lvl>
    <w:lvl w:ilvl="3" w:tplc="C596A962" w:tentative="1">
      <w:start w:val="1"/>
      <w:numFmt w:val="decimal"/>
      <w:lvlText w:val="%4."/>
      <w:lvlJc w:val="left"/>
      <w:pPr>
        <w:ind w:left="2880" w:hanging="360"/>
      </w:pPr>
    </w:lvl>
    <w:lvl w:ilvl="4" w:tplc="A3E41542" w:tentative="1">
      <w:start w:val="1"/>
      <w:numFmt w:val="lowerLetter"/>
      <w:lvlText w:val="%5."/>
      <w:lvlJc w:val="left"/>
      <w:pPr>
        <w:ind w:left="3600" w:hanging="360"/>
      </w:pPr>
    </w:lvl>
    <w:lvl w:ilvl="5" w:tplc="FAD2EACA" w:tentative="1">
      <w:start w:val="1"/>
      <w:numFmt w:val="lowerRoman"/>
      <w:lvlText w:val="%6."/>
      <w:lvlJc w:val="right"/>
      <w:pPr>
        <w:ind w:left="4320" w:hanging="180"/>
      </w:pPr>
    </w:lvl>
    <w:lvl w:ilvl="6" w:tplc="F6305A8A" w:tentative="1">
      <w:start w:val="1"/>
      <w:numFmt w:val="decimal"/>
      <w:lvlText w:val="%7."/>
      <w:lvlJc w:val="left"/>
      <w:pPr>
        <w:ind w:left="5040" w:hanging="360"/>
      </w:pPr>
    </w:lvl>
    <w:lvl w:ilvl="7" w:tplc="ED323E5C" w:tentative="1">
      <w:start w:val="1"/>
      <w:numFmt w:val="lowerLetter"/>
      <w:lvlText w:val="%8."/>
      <w:lvlJc w:val="left"/>
      <w:pPr>
        <w:ind w:left="5760" w:hanging="360"/>
      </w:pPr>
    </w:lvl>
    <w:lvl w:ilvl="8" w:tplc="AD040F7E" w:tentative="1">
      <w:start w:val="1"/>
      <w:numFmt w:val="lowerRoman"/>
      <w:lvlText w:val="%9."/>
      <w:lvlJc w:val="right"/>
      <w:pPr>
        <w:ind w:left="6480" w:hanging="180"/>
      </w:pPr>
    </w:lvl>
  </w:abstractNum>
  <w:abstractNum w:abstractNumId="19" w15:restartNumberingAfterBreak="0">
    <w:nsid w:val="66260BDC"/>
    <w:multiLevelType w:val="hybridMultilevel"/>
    <w:tmpl w:val="2390D1BC"/>
    <w:lvl w:ilvl="0" w:tplc="981AC320">
      <w:start w:val="1"/>
      <w:numFmt w:val="decimal"/>
      <w:lvlText w:val="%1."/>
      <w:lvlJc w:val="left"/>
      <w:pPr>
        <w:ind w:left="720" w:hanging="360"/>
      </w:pPr>
      <w:rPr>
        <w:rFonts w:ascii="Times New Roman" w:eastAsia="Calibri" w:hAnsi="Times New Roman" w:cs="Times New Roman"/>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abstractNum w:abstractNumId="20" w15:restartNumberingAfterBreak="0">
    <w:nsid w:val="6DB91A72"/>
    <w:multiLevelType w:val="multilevel"/>
    <w:tmpl w:val="62BAE7CC"/>
    <w:lvl w:ilvl="0">
      <w:start w:val="1"/>
      <w:numFmt w:val="decimal"/>
      <w:suff w:val="space"/>
      <w:lvlText w:val="CHAPTER %1."/>
      <w:lvlJc w:val="left"/>
      <w:pPr>
        <w:ind w:left="360" w:hanging="36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850CA9"/>
    <w:multiLevelType w:val="hybridMultilevel"/>
    <w:tmpl w:val="261C4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D1F81"/>
    <w:multiLevelType w:val="multilevel"/>
    <w:tmpl w:val="C1EE725A"/>
    <w:lvl w:ilvl="0">
      <w:start w:val="2"/>
      <w:numFmt w:val="decimal"/>
      <w:lvlText w:val="%1"/>
      <w:lvlJc w:val="left"/>
      <w:pPr>
        <w:ind w:left="360" w:hanging="360"/>
      </w:pPr>
      <w:rPr>
        <w:rFonts w:ascii="Sylfaen" w:hAnsi="Sylfaen" w:hint="default"/>
      </w:rPr>
    </w:lvl>
    <w:lvl w:ilvl="1">
      <w:start w:val="1"/>
      <w:numFmt w:val="decimal"/>
      <w:lvlText w:val="%1.%2"/>
      <w:lvlJc w:val="left"/>
      <w:pPr>
        <w:ind w:left="1381" w:hanging="360"/>
      </w:pPr>
      <w:rPr>
        <w:rFonts w:ascii="Times New Roman" w:hAnsi="Times New Roman" w:cs="Times New Roman" w:hint="default"/>
      </w:rPr>
    </w:lvl>
    <w:lvl w:ilvl="2">
      <w:start w:val="1"/>
      <w:numFmt w:val="decimal"/>
      <w:lvlText w:val="%1.%2.%3"/>
      <w:lvlJc w:val="left"/>
      <w:pPr>
        <w:ind w:left="2762" w:hanging="720"/>
      </w:pPr>
      <w:rPr>
        <w:rFonts w:ascii="Sylfaen" w:hAnsi="Sylfaen" w:hint="default"/>
      </w:rPr>
    </w:lvl>
    <w:lvl w:ilvl="3">
      <w:start w:val="1"/>
      <w:numFmt w:val="decimal"/>
      <w:lvlText w:val="%1.%2.%3.%4"/>
      <w:lvlJc w:val="left"/>
      <w:pPr>
        <w:ind w:left="3783" w:hanging="720"/>
      </w:pPr>
      <w:rPr>
        <w:rFonts w:ascii="Sylfaen" w:hAnsi="Sylfaen" w:hint="default"/>
      </w:rPr>
    </w:lvl>
    <w:lvl w:ilvl="4">
      <w:start w:val="1"/>
      <w:numFmt w:val="decimal"/>
      <w:lvlText w:val="%1.%2.%3.%4.%5"/>
      <w:lvlJc w:val="left"/>
      <w:pPr>
        <w:ind w:left="5164" w:hanging="1080"/>
      </w:pPr>
      <w:rPr>
        <w:rFonts w:ascii="Sylfaen" w:hAnsi="Sylfaen" w:hint="default"/>
      </w:rPr>
    </w:lvl>
    <w:lvl w:ilvl="5">
      <w:start w:val="1"/>
      <w:numFmt w:val="decimal"/>
      <w:lvlText w:val="%1.%2.%3.%4.%5.%6"/>
      <w:lvlJc w:val="left"/>
      <w:pPr>
        <w:ind w:left="6185" w:hanging="1080"/>
      </w:pPr>
      <w:rPr>
        <w:rFonts w:ascii="Sylfaen" w:hAnsi="Sylfaen" w:hint="default"/>
      </w:rPr>
    </w:lvl>
    <w:lvl w:ilvl="6">
      <w:start w:val="1"/>
      <w:numFmt w:val="decimal"/>
      <w:lvlText w:val="%1.%2.%3.%4.%5.%6.%7"/>
      <w:lvlJc w:val="left"/>
      <w:pPr>
        <w:ind w:left="7566" w:hanging="1440"/>
      </w:pPr>
      <w:rPr>
        <w:rFonts w:ascii="Sylfaen" w:hAnsi="Sylfaen" w:hint="default"/>
      </w:rPr>
    </w:lvl>
    <w:lvl w:ilvl="7">
      <w:start w:val="1"/>
      <w:numFmt w:val="decimal"/>
      <w:lvlText w:val="%1.%2.%3.%4.%5.%6.%7.%8"/>
      <w:lvlJc w:val="left"/>
      <w:pPr>
        <w:ind w:left="8587" w:hanging="1440"/>
      </w:pPr>
      <w:rPr>
        <w:rFonts w:ascii="Sylfaen" w:hAnsi="Sylfaen" w:hint="default"/>
      </w:rPr>
    </w:lvl>
    <w:lvl w:ilvl="8">
      <w:start w:val="1"/>
      <w:numFmt w:val="decimal"/>
      <w:lvlText w:val="%1.%2.%3.%4.%5.%6.%7.%8.%9"/>
      <w:lvlJc w:val="left"/>
      <w:pPr>
        <w:ind w:left="9968" w:hanging="1800"/>
      </w:pPr>
      <w:rPr>
        <w:rFonts w:ascii="Sylfaen" w:hAnsi="Sylfaen" w:hint="default"/>
      </w:rPr>
    </w:lvl>
  </w:abstractNum>
  <w:abstractNum w:abstractNumId="23" w15:restartNumberingAfterBreak="0">
    <w:nsid w:val="78645CDE"/>
    <w:multiLevelType w:val="multilevel"/>
    <w:tmpl w:val="E44CBDA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8"/>
  </w:num>
  <w:num w:numId="3">
    <w:abstractNumId w:val="19"/>
  </w:num>
  <w:num w:numId="4">
    <w:abstractNumId w:val="17"/>
  </w:num>
  <w:num w:numId="5">
    <w:abstractNumId w:val="8"/>
  </w:num>
  <w:num w:numId="6">
    <w:abstractNumId w:val="13"/>
  </w:num>
  <w:num w:numId="7">
    <w:abstractNumId w:val="5"/>
  </w:num>
  <w:num w:numId="8">
    <w:abstractNumId w:val="20"/>
  </w:num>
  <w:num w:numId="9">
    <w:abstractNumId w:val="12"/>
  </w:num>
  <w:num w:numId="10">
    <w:abstractNumId w:val="0"/>
  </w:num>
  <w:num w:numId="11">
    <w:abstractNumId w:val="21"/>
  </w:num>
  <w:num w:numId="12">
    <w:abstractNumId w:val="9"/>
  </w:num>
  <w:num w:numId="13">
    <w:abstractNumId w:val="22"/>
  </w:num>
  <w:num w:numId="14">
    <w:abstractNumId w:val="11"/>
  </w:num>
  <w:num w:numId="15">
    <w:abstractNumId w:val="1"/>
  </w:num>
  <w:num w:numId="16">
    <w:abstractNumId w:val="7"/>
  </w:num>
  <w:num w:numId="17">
    <w:abstractNumId w:val="4"/>
  </w:num>
  <w:num w:numId="18">
    <w:abstractNumId w:val="14"/>
  </w:num>
  <w:num w:numId="19">
    <w:abstractNumId w:val="6"/>
  </w:num>
  <w:num w:numId="20">
    <w:abstractNumId w:val="3"/>
  </w:num>
  <w:num w:numId="21">
    <w:abstractNumId w:val="23"/>
  </w:num>
  <w:num w:numId="22">
    <w:abstractNumId w:val="15"/>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D2"/>
    <w:rsid w:val="0009594F"/>
    <w:rsid w:val="000B4EEC"/>
    <w:rsid w:val="000C4B35"/>
    <w:rsid w:val="0014508D"/>
    <w:rsid w:val="001C3BC6"/>
    <w:rsid w:val="001C4D71"/>
    <w:rsid w:val="001D061A"/>
    <w:rsid w:val="001F556A"/>
    <w:rsid w:val="0022166F"/>
    <w:rsid w:val="0024132D"/>
    <w:rsid w:val="00261F2A"/>
    <w:rsid w:val="00262663"/>
    <w:rsid w:val="002B5404"/>
    <w:rsid w:val="002F619F"/>
    <w:rsid w:val="00325DC7"/>
    <w:rsid w:val="00326860"/>
    <w:rsid w:val="003E2253"/>
    <w:rsid w:val="003F0C90"/>
    <w:rsid w:val="00411236"/>
    <w:rsid w:val="00443FE1"/>
    <w:rsid w:val="0047579F"/>
    <w:rsid w:val="00480462"/>
    <w:rsid w:val="0049224C"/>
    <w:rsid w:val="00495824"/>
    <w:rsid w:val="004C087E"/>
    <w:rsid w:val="004C22B7"/>
    <w:rsid w:val="00500BB6"/>
    <w:rsid w:val="00503304"/>
    <w:rsid w:val="0053274B"/>
    <w:rsid w:val="00582C32"/>
    <w:rsid w:val="005E35B6"/>
    <w:rsid w:val="00625DD0"/>
    <w:rsid w:val="0067253D"/>
    <w:rsid w:val="006833E0"/>
    <w:rsid w:val="006E4E8B"/>
    <w:rsid w:val="00730389"/>
    <w:rsid w:val="007679D7"/>
    <w:rsid w:val="00772845"/>
    <w:rsid w:val="00783775"/>
    <w:rsid w:val="007B415F"/>
    <w:rsid w:val="007F450E"/>
    <w:rsid w:val="00814191"/>
    <w:rsid w:val="0083540D"/>
    <w:rsid w:val="00860754"/>
    <w:rsid w:val="00872036"/>
    <w:rsid w:val="0087343B"/>
    <w:rsid w:val="008969A0"/>
    <w:rsid w:val="0091783F"/>
    <w:rsid w:val="00924580"/>
    <w:rsid w:val="00932EBD"/>
    <w:rsid w:val="0094336F"/>
    <w:rsid w:val="009435E8"/>
    <w:rsid w:val="00951962"/>
    <w:rsid w:val="00955AD2"/>
    <w:rsid w:val="00983C00"/>
    <w:rsid w:val="009E0C25"/>
    <w:rsid w:val="009E16AD"/>
    <w:rsid w:val="009E6D17"/>
    <w:rsid w:val="00A24478"/>
    <w:rsid w:val="00A473FE"/>
    <w:rsid w:val="00A84791"/>
    <w:rsid w:val="00A939F9"/>
    <w:rsid w:val="00A96546"/>
    <w:rsid w:val="00AB728C"/>
    <w:rsid w:val="00AE6D23"/>
    <w:rsid w:val="00B147FA"/>
    <w:rsid w:val="00B15891"/>
    <w:rsid w:val="00B16C6B"/>
    <w:rsid w:val="00B27A23"/>
    <w:rsid w:val="00B809B4"/>
    <w:rsid w:val="00BA182B"/>
    <w:rsid w:val="00BA4F84"/>
    <w:rsid w:val="00BB1CBC"/>
    <w:rsid w:val="00BB7368"/>
    <w:rsid w:val="00BF256F"/>
    <w:rsid w:val="00BF2688"/>
    <w:rsid w:val="00C55468"/>
    <w:rsid w:val="00CB3A1B"/>
    <w:rsid w:val="00CC088E"/>
    <w:rsid w:val="00D0421F"/>
    <w:rsid w:val="00D35EFC"/>
    <w:rsid w:val="00D54F75"/>
    <w:rsid w:val="00D77683"/>
    <w:rsid w:val="00DB7CCD"/>
    <w:rsid w:val="00DD0775"/>
    <w:rsid w:val="00E901A2"/>
    <w:rsid w:val="00EA4C18"/>
    <w:rsid w:val="00EF1E05"/>
    <w:rsid w:val="00F0469C"/>
    <w:rsid w:val="00F10CF9"/>
    <w:rsid w:val="00F13A76"/>
    <w:rsid w:val="00F208DD"/>
    <w:rsid w:val="00F64A69"/>
    <w:rsid w:val="00F742C3"/>
    <w:rsid w:val="00FB11B6"/>
    <w:rsid w:val="00FC552A"/>
    <w:rsid w:val="00FC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40EB"/>
  <w15:docId w15:val="{703342A9-FBF6-479F-8746-A119E632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D2"/>
    <w:pPr>
      <w:spacing w:after="160" w:line="259"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BB736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AB72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72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728C"/>
    <w:pPr>
      <w:keepNext/>
      <w:keepLines/>
      <w:tabs>
        <w:tab w:val="left" w:pos="1021"/>
      </w:tabs>
      <w:spacing w:before="240" w:after="240" w:line="360" w:lineRule="auto"/>
      <w:ind w:left="1021" w:hanging="1021"/>
      <w:jc w:val="both"/>
      <w:outlineLvl w:val="3"/>
    </w:pPr>
    <w:rPr>
      <w:rFonts w:ascii="Times New Roman Bold" w:eastAsiaTheme="majorEastAsia" w:hAnsi="Times New Roman Bold" w:cstheme="majorBidi"/>
      <w:b/>
      <w:iCs/>
      <w:color w:val="000000" w:themeColor="text1"/>
      <w:sz w:val="24"/>
      <w:lang w:val="en-US"/>
    </w:rPr>
  </w:style>
  <w:style w:type="paragraph" w:styleId="Heading5">
    <w:name w:val="heading 5"/>
    <w:basedOn w:val="Normal"/>
    <w:next w:val="Normal"/>
    <w:link w:val="Heading5Char"/>
    <w:uiPriority w:val="9"/>
    <w:unhideWhenUsed/>
    <w:qFormat/>
    <w:rsid w:val="00AB728C"/>
    <w:pPr>
      <w:keepNext/>
      <w:keepLines/>
      <w:tabs>
        <w:tab w:val="left" w:pos="1021"/>
      </w:tabs>
      <w:spacing w:before="240" w:after="240" w:line="360" w:lineRule="auto"/>
      <w:ind w:left="1021" w:hanging="1021"/>
      <w:jc w:val="both"/>
      <w:outlineLvl w:val="4"/>
    </w:pPr>
    <w:rPr>
      <w:rFonts w:ascii="Times New Roman Bold" w:eastAsiaTheme="majorEastAsia" w:hAnsi="Times New Roman Bold" w:cstheme="majorBidi"/>
      <w:b/>
      <w:color w:val="000000" w:themeColor="text1"/>
      <w:sz w:val="24"/>
      <w:lang w:val="en-US"/>
    </w:rPr>
  </w:style>
  <w:style w:type="paragraph" w:styleId="Heading6">
    <w:name w:val="heading 6"/>
    <w:basedOn w:val="Normal"/>
    <w:next w:val="Normal"/>
    <w:link w:val="Heading6Char"/>
    <w:uiPriority w:val="9"/>
    <w:unhideWhenUsed/>
    <w:qFormat/>
    <w:rsid w:val="00AB728C"/>
    <w:pPr>
      <w:keepNext/>
      <w:keepLines/>
      <w:tabs>
        <w:tab w:val="left" w:pos="1418"/>
      </w:tabs>
      <w:spacing w:before="240" w:after="240" w:line="360" w:lineRule="auto"/>
      <w:ind w:left="1021" w:hanging="1021"/>
      <w:jc w:val="both"/>
      <w:outlineLvl w:val="5"/>
    </w:pPr>
    <w:rPr>
      <w:rFonts w:ascii="Times New Roman" w:eastAsiaTheme="majorEastAsia" w:hAnsi="Times New Roman" w:cstheme="majorBidi"/>
      <w:color w:val="000000" w:themeColor="text1"/>
      <w:sz w:val="24"/>
      <w:lang w:val="en-US"/>
    </w:rPr>
  </w:style>
  <w:style w:type="paragraph" w:styleId="Heading7">
    <w:name w:val="heading 7"/>
    <w:basedOn w:val="Normal"/>
    <w:next w:val="Normal"/>
    <w:link w:val="Heading7Char"/>
    <w:uiPriority w:val="9"/>
    <w:unhideWhenUsed/>
    <w:rsid w:val="00AB728C"/>
    <w:pPr>
      <w:keepNext/>
      <w:keepLines/>
      <w:spacing w:before="240" w:after="240" w:line="360" w:lineRule="auto"/>
      <w:ind w:left="3240" w:hanging="1080"/>
      <w:jc w:val="both"/>
      <w:outlineLvl w:val="6"/>
    </w:pPr>
    <w:rPr>
      <w:rFonts w:ascii="Times New Roman" w:eastAsiaTheme="majorEastAsia" w:hAnsi="Times New Roman" w:cstheme="majorBidi"/>
      <w:b/>
      <w:i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28C"/>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rsid w:val="00AB728C"/>
    <w:rPr>
      <w:rFonts w:asciiTheme="majorHAnsi" w:eastAsiaTheme="majorEastAsia" w:hAnsiTheme="majorHAnsi" w:cstheme="majorBidi"/>
      <w:color w:val="243F60" w:themeColor="accent1" w:themeShade="7F"/>
      <w:sz w:val="24"/>
      <w:szCs w:val="24"/>
      <w:lang w:val="id-ID"/>
    </w:rPr>
  </w:style>
  <w:style w:type="character" w:customStyle="1" w:styleId="Heading4Char">
    <w:name w:val="Heading 4 Char"/>
    <w:basedOn w:val="DefaultParagraphFont"/>
    <w:link w:val="Heading4"/>
    <w:uiPriority w:val="9"/>
    <w:rsid w:val="00AB728C"/>
    <w:rPr>
      <w:rFonts w:ascii="Times New Roman Bold" w:eastAsiaTheme="majorEastAsia" w:hAnsi="Times New Roman Bold" w:cstheme="majorBidi"/>
      <w:b/>
      <w:iCs/>
      <w:color w:val="000000" w:themeColor="text1"/>
      <w:sz w:val="24"/>
    </w:rPr>
  </w:style>
  <w:style w:type="character" w:customStyle="1" w:styleId="Heading5Char">
    <w:name w:val="Heading 5 Char"/>
    <w:basedOn w:val="DefaultParagraphFont"/>
    <w:link w:val="Heading5"/>
    <w:uiPriority w:val="9"/>
    <w:rsid w:val="00AB728C"/>
    <w:rPr>
      <w:rFonts w:ascii="Times New Roman Bold" w:eastAsiaTheme="majorEastAsia" w:hAnsi="Times New Roman Bold" w:cstheme="majorBidi"/>
      <w:b/>
      <w:color w:val="000000" w:themeColor="text1"/>
      <w:sz w:val="24"/>
    </w:rPr>
  </w:style>
  <w:style w:type="character" w:customStyle="1" w:styleId="Heading6Char">
    <w:name w:val="Heading 6 Char"/>
    <w:basedOn w:val="DefaultParagraphFont"/>
    <w:link w:val="Heading6"/>
    <w:uiPriority w:val="9"/>
    <w:rsid w:val="00AB728C"/>
    <w:rPr>
      <w:rFonts w:ascii="Times New Roman" w:eastAsiaTheme="majorEastAsia" w:hAnsi="Times New Roman" w:cstheme="majorBidi"/>
      <w:color w:val="000000" w:themeColor="text1"/>
      <w:sz w:val="24"/>
    </w:rPr>
  </w:style>
  <w:style w:type="character" w:customStyle="1" w:styleId="Heading7Char">
    <w:name w:val="Heading 7 Char"/>
    <w:basedOn w:val="DefaultParagraphFont"/>
    <w:link w:val="Heading7"/>
    <w:uiPriority w:val="9"/>
    <w:rsid w:val="00AB728C"/>
    <w:rPr>
      <w:rFonts w:ascii="Times New Roman" w:eastAsiaTheme="majorEastAsia" w:hAnsi="Times New Roman" w:cstheme="majorBidi"/>
      <w:b/>
      <w:iCs/>
      <w:color w:val="000000" w:themeColor="text1"/>
      <w:sz w:val="24"/>
    </w:rPr>
  </w:style>
  <w:style w:type="paragraph" w:customStyle="1" w:styleId="MediumShading1-Accent11">
    <w:name w:val="Medium Shading 1 - Accent 11"/>
    <w:uiPriority w:val="1"/>
    <w:qFormat/>
    <w:rsid w:val="00955AD2"/>
    <w:pPr>
      <w:spacing w:after="0" w:line="240" w:lineRule="auto"/>
    </w:pPr>
    <w:rPr>
      <w:rFonts w:ascii="Calibri" w:eastAsia="Calibri" w:hAnsi="Calibri" w:cs="Times New Roman"/>
      <w:lang w:val="id-ID"/>
    </w:rPr>
  </w:style>
  <w:style w:type="character" w:styleId="Hyperlink">
    <w:name w:val="Hyperlink"/>
    <w:uiPriority w:val="99"/>
    <w:unhideWhenUsed/>
    <w:rsid w:val="00955AD2"/>
    <w:rPr>
      <w:color w:val="0563C1"/>
      <w:u w:val="single"/>
    </w:rPr>
  </w:style>
  <w:style w:type="paragraph" w:styleId="NormalWeb">
    <w:name w:val="Normal (Web)"/>
    <w:basedOn w:val="Normal"/>
    <w:uiPriority w:val="99"/>
    <w:unhideWhenUsed/>
    <w:rsid w:val="00955AD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link w:val="ListParagraphChar"/>
    <w:uiPriority w:val="34"/>
    <w:qFormat/>
    <w:rsid w:val="00955AD2"/>
    <w:pPr>
      <w:spacing w:after="200" w:line="276" w:lineRule="auto"/>
      <w:ind w:left="720"/>
      <w:contextualSpacing/>
    </w:pPr>
    <w:rPr>
      <w:lang w:val="en-US"/>
    </w:rPr>
  </w:style>
  <w:style w:type="character" w:customStyle="1" w:styleId="ListParagraphChar">
    <w:name w:val="List Paragraph Char"/>
    <w:link w:val="ListParagraph"/>
    <w:rsid w:val="00955AD2"/>
    <w:rPr>
      <w:rFonts w:ascii="Calibri" w:eastAsia="Calibri" w:hAnsi="Calibri" w:cs="Times New Roman"/>
    </w:rPr>
  </w:style>
  <w:style w:type="character" w:customStyle="1" w:styleId="a">
    <w:name w:val="a"/>
    <w:basedOn w:val="DefaultParagraphFont"/>
    <w:rsid w:val="00955AD2"/>
  </w:style>
  <w:style w:type="character" w:styleId="CommentReference">
    <w:name w:val="annotation reference"/>
    <w:basedOn w:val="DefaultParagraphFont"/>
    <w:uiPriority w:val="99"/>
    <w:semiHidden/>
    <w:unhideWhenUsed/>
    <w:rsid w:val="005E35B6"/>
    <w:rPr>
      <w:sz w:val="16"/>
      <w:szCs w:val="16"/>
    </w:rPr>
  </w:style>
  <w:style w:type="paragraph" w:styleId="CommentText">
    <w:name w:val="annotation text"/>
    <w:basedOn w:val="Normal"/>
    <w:link w:val="CommentTextChar"/>
    <w:uiPriority w:val="99"/>
    <w:semiHidden/>
    <w:unhideWhenUsed/>
    <w:rsid w:val="005E35B6"/>
    <w:pPr>
      <w:spacing w:line="240" w:lineRule="auto"/>
    </w:pPr>
    <w:rPr>
      <w:sz w:val="20"/>
      <w:szCs w:val="20"/>
    </w:rPr>
  </w:style>
  <w:style w:type="character" w:customStyle="1" w:styleId="CommentTextChar">
    <w:name w:val="Comment Text Char"/>
    <w:basedOn w:val="DefaultParagraphFont"/>
    <w:link w:val="CommentText"/>
    <w:uiPriority w:val="99"/>
    <w:semiHidden/>
    <w:rsid w:val="005E35B6"/>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5E35B6"/>
    <w:rPr>
      <w:b/>
      <w:bCs/>
    </w:rPr>
  </w:style>
  <w:style w:type="character" w:customStyle="1" w:styleId="CommentSubjectChar">
    <w:name w:val="Comment Subject Char"/>
    <w:basedOn w:val="CommentTextChar"/>
    <w:link w:val="CommentSubject"/>
    <w:uiPriority w:val="99"/>
    <w:semiHidden/>
    <w:rsid w:val="005E35B6"/>
    <w:rPr>
      <w:rFonts w:ascii="Calibri" w:eastAsia="Calibri" w:hAnsi="Calibri" w:cs="Times New Roman"/>
      <w:b/>
      <w:bCs/>
      <w:sz w:val="20"/>
      <w:szCs w:val="20"/>
      <w:lang w:val="id-ID"/>
    </w:rPr>
  </w:style>
  <w:style w:type="paragraph" w:styleId="BalloonText">
    <w:name w:val="Balloon Text"/>
    <w:basedOn w:val="Normal"/>
    <w:link w:val="BalloonTextChar"/>
    <w:uiPriority w:val="99"/>
    <w:semiHidden/>
    <w:unhideWhenUsed/>
    <w:rsid w:val="005E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5B6"/>
    <w:rPr>
      <w:rFonts w:ascii="Tahoma" w:eastAsia="Calibri" w:hAnsi="Tahoma" w:cs="Tahoma"/>
      <w:sz w:val="16"/>
      <w:szCs w:val="16"/>
      <w:lang w:val="id-ID"/>
    </w:rPr>
  </w:style>
  <w:style w:type="table" w:styleId="TableGrid">
    <w:name w:val="Table Grid"/>
    <w:basedOn w:val="TableNormal"/>
    <w:uiPriority w:val="59"/>
    <w:rsid w:val="00BB1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51962"/>
    <w:rPr>
      <w:color w:val="808080"/>
    </w:rPr>
  </w:style>
  <w:style w:type="paragraph" w:styleId="Header">
    <w:name w:val="header"/>
    <w:basedOn w:val="Normal"/>
    <w:link w:val="HeaderChar"/>
    <w:uiPriority w:val="99"/>
    <w:unhideWhenUsed/>
    <w:rsid w:val="0083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0D"/>
    <w:rPr>
      <w:rFonts w:ascii="Calibri" w:eastAsia="Calibri" w:hAnsi="Calibri" w:cs="Times New Roman"/>
      <w:lang w:val="id-ID"/>
    </w:rPr>
  </w:style>
  <w:style w:type="paragraph" w:styleId="Footer">
    <w:name w:val="footer"/>
    <w:basedOn w:val="Normal"/>
    <w:link w:val="FooterChar"/>
    <w:uiPriority w:val="99"/>
    <w:unhideWhenUsed/>
    <w:rsid w:val="0083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0D"/>
    <w:rPr>
      <w:rFonts w:ascii="Calibri" w:eastAsia="Calibri" w:hAnsi="Calibri" w:cs="Times New Roman"/>
      <w:lang w:val="id-ID"/>
    </w:rPr>
  </w:style>
  <w:style w:type="paragraph" w:styleId="Title">
    <w:name w:val="Title"/>
    <w:basedOn w:val="Normal"/>
    <w:next w:val="Normal"/>
    <w:link w:val="TitleChar"/>
    <w:uiPriority w:val="10"/>
    <w:qFormat/>
    <w:rsid w:val="00AB728C"/>
    <w:pPr>
      <w:keepNext/>
      <w:keepLines/>
      <w:pageBreakBefore/>
      <w:spacing w:before="240" w:after="240" w:line="360" w:lineRule="auto"/>
      <w:contextualSpacing/>
      <w:jc w:val="both"/>
      <w:outlineLvl w:val="0"/>
    </w:pPr>
    <w:rPr>
      <w:rFonts w:ascii="Times New Roman Bold" w:eastAsiaTheme="majorEastAsia" w:hAnsi="Times New Roman Bold" w:cstheme="majorBidi"/>
      <w:b/>
      <w:spacing w:val="-10"/>
      <w:kern w:val="28"/>
      <w:sz w:val="28"/>
      <w:szCs w:val="56"/>
      <w:lang w:val="en-US"/>
    </w:rPr>
  </w:style>
  <w:style w:type="character" w:customStyle="1" w:styleId="TitleChar">
    <w:name w:val="Title Char"/>
    <w:basedOn w:val="DefaultParagraphFont"/>
    <w:link w:val="Title"/>
    <w:uiPriority w:val="10"/>
    <w:rsid w:val="00AB728C"/>
    <w:rPr>
      <w:rFonts w:ascii="Times New Roman Bold" w:eastAsiaTheme="majorEastAsia" w:hAnsi="Times New Roman Bold" w:cstheme="majorBidi"/>
      <w:b/>
      <w:spacing w:val="-10"/>
      <w:kern w:val="28"/>
      <w:sz w:val="28"/>
      <w:szCs w:val="56"/>
    </w:rPr>
  </w:style>
  <w:style w:type="paragraph" w:styleId="Quote">
    <w:name w:val="Quote"/>
    <w:basedOn w:val="Normal"/>
    <w:next w:val="Normal"/>
    <w:link w:val="QuoteChar"/>
    <w:uiPriority w:val="29"/>
    <w:qFormat/>
    <w:rsid w:val="00AB728C"/>
    <w:pPr>
      <w:spacing w:before="240" w:after="240" w:line="360" w:lineRule="auto"/>
      <w:ind w:left="993"/>
      <w:jc w:val="both"/>
    </w:pPr>
    <w:rPr>
      <w:rFonts w:ascii="Times New Roman" w:eastAsiaTheme="minorHAnsi" w:hAnsi="Times New Roman" w:cstheme="minorBidi"/>
      <w:sz w:val="24"/>
      <w:lang w:val="en-US"/>
    </w:rPr>
  </w:style>
  <w:style w:type="character" w:customStyle="1" w:styleId="QuoteChar">
    <w:name w:val="Quote Char"/>
    <w:basedOn w:val="DefaultParagraphFont"/>
    <w:link w:val="Quote"/>
    <w:uiPriority w:val="29"/>
    <w:rsid w:val="00AB728C"/>
    <w:rPr>
      <w:rFonts w:ascii="Times New Roman" w:hAnsi="Times New Roman"/>
      <w:sz w:val="24"/>
    </w:rPr>
  </w:style>
  <w:style w:type="paragraph" w:customStyle="1" w:styleId="Table-Figure-Caption">
    <w:name w:val="Table-Figure-Caption"/>
    <w:basedOn w:val="Normal"/>
    <w:next w:val="Normal"/>
    <w:qFormat/>
    <w:rsid w:val="00AB728C"/>
    <w:pPr>
      <w:keepNext/>
      <w:keepLines/>
      <w:spacing w:before="240" w:after="240" w:line="360" w:lineRule="auto"/>
      <w:jc w:val="both"/>
    </w:pPr>
    <w:rPr>
      <w:rFonts w:ascii="Times New Roman" w:eastAsiaTheme="minorHAnsi" w:hAnsi="Times New Roman" w:cstheme="minorBidi"/>
      <w:sz w:val="24"/>
      <w:lang w:val="en-US"/>
    </w:rPr>
  </w:style>
  <w:style w:type="paragraph" w:customStyle="1" w:styleId="Numbering-1">
    <w:name w:val="Numbering-1"/>
    <w:basedOn w:val="ListParagraph"/>
    <w:qFormat/>
    <w:rsid w:val="00AB728C"/>
    <w:pPr>
      <w:numPr>
        <w:numId w:val="6"/>
      </w:numPr>
      <w:spacing w:before="240" w:after="240" w:line="360" w:lineRule="auto"/>
      <w:jc w:val="both"/>
    </w:pPr>
    <w:rPr>
      <w:rFonts w:ascii="Times New Roman" w:eastAsiaTheme="minorHAnsi" w:hAnsi="Times New Roman" w:cstheme="minorBidi"/>
      <w:sz w:val="24"/>
    </w:rPr>
  </w:style>
  <w:style w:type="paragraph" w:customStyle="1" w:styleId="Bullet-1">
    <w:name w:val="Bullet-1"/>
    <w:basedOn w:val="ListParagraph"/>
    <w:qFormat/>
    <w:rsid w:val="00AB728C"/>
    <w:pPr>
      <w:numPr>
        <w:numId w:val="7"/>
      </w:numPr>
      <w:spacing w:before="240" w:after="240" w:line="360" w:lineRule="auto"/>
      <w:jc w:val="both"/>
    </w:pPr>
    <w:rPr>
      <w:rFonts w:ascii="Times New Roman" w:eastAsiaTheme="minorHAnsi" w:hAnsi="Times New Roman" w:cstheme="minorBidi"/>
      <w:sz w:val="24"/>
    </w:rPr>
  </w:style>
  <w:style w:type="paragraph" w:customStyle="1" w:styleId="IntroConcTitle">
    <w:name w:val="Intro&amp;Conc_Title"/>
    <w:basedOn w:val="Heading1"/>
    <w:qFormat/>
    <w:rsid w:val="00AB728C"/>
    <w:pPr>
      <w:spacing w:after="240" w:line="360" w:lineRule="auto"/>
      <w:jc w:val="both"/>
    </w:pPr>
    <w:rPr>
      <w:rFonts w:ascii="Times New Roman Bold" w:hAnsi="Times New Roman Bold"/>
      <w:b/>
      <w:color w:val="000000" w:themeColor="text1"/>
      <w:sz w:val="28"/>
    </w:rPr>
  </w:style>
  <w:style w:type="paragraph" w:customStyle="1" w:styleId="Table-Figure-Ref">
    <w:name w:val="Table-Figure-Ref"/>
    <w:basedOn w:val="Normal"/>
    <w:qFormat/>
    <w:rsid w:val="00AB728C"/>
    <w:pPr>
      <w:spacing w:before="240" w:after="240" w:line="360" w:lineRule="auto"/>
      <w:jc w:val="both"/>
    </w:pPr>
    <w:rPr>
      <w:rFonts w:ascii="Times New Roman" w:eastAsiaTheme="minorHAnsi" w:hAnsi="Times New Roman" w:cstheme="minorBidi"/>
      <w:i/>
      <w:sz w:val="24"/>
      <w:lang w:val="en-US"/>
    </w:rPr>
  </w:style>
  <w:style w:type="paragraph" w:customStyle="1" w:styleId="appendix">
    <w:name w:val="appendix"/>
    <w:basedOn w:val="Bullet-1"/>
    <w:next w:val="Normal"/>
    <w:qFormat/>
    <w:rsid w:val="00AB728C"/>
    <w:pPr>
      <w:keepNext/>
      <w:keepLines/>
      <w:pageBreakBefore/>
      <w:numPr>
        <w:numId w:val="9"/>
      </w:numPr>
      <w:outlineLvl w:val="0"/>
    </w:pPr>
    <w:rPr>
      <w:rFonts w:ascii="Times New Roman Bold" w:hAnsi="Times New Roman Bold"/>
      <w:b/>
    </w:rPr>
  </w:style>
  <w:style w:type="paragraph" w:styleId="Subtitle">
    <w:name w:val="Subtitle"/>
    <w:basedOn w:val="Normal"/>
    <w:next w:val="Normal"/>
    <w:link w:val="SubtitleChar"/>
    <w:uiPriority w:val="11"/>
    <w:rsid w:val="00AB728C"/>
    <w:pPr>
      <w:keepNext/>
      <w:keepLines/>
      <w:spacing w:before="240" w:after="240" w:line="360" w:lineRule="auto"/>
      <w:jc w:val="both"/>
      <w:outlineLvl w:val="6"/>
    </w:pPr>
    <w:rPr>
      <w:rFonts w:ascii="Times New Roman Bold" w:eastAsiaTheme="minorHAnsi" w:hAnsi="Times New Roman Bold" w:cstheme="minorBidi"/>
      <w:b/>
      <w:sz w:val="24"/>
      <w:lang w:val="en-US"/>
    </w:rPr>
  </w:style>
  <w:style w:type="character" w:customStyle="1" w:styleId="SubtitleChar">
    <w:name w:val="Subtitle Char"/>
    <w:basedOn w:val="DefaultParagraphFont"/>
    <w:link w:val="Subtitle"/>
    <w:uiPriority w:val="11"/>
    <w:rsid w:val="00AB728C"/>
    <w:rPr>
      <w:rFonts w:ascii="Times New Roman Bold" w:hAnsi="Times New Roman Bold"/>
      <w:b/>
      <w:sz w:val="24"/>
    </w:rPr>
  </w:style>
  <w:style w:type="paragraph" w:customStyle="1" w:styleId="Contents">
    <w:name w:val="Contents"/>
    <w:basedOn w:val="Title"/>
    <w:qFormat/>
    <w:rsid w:val="00AB728C"/>
    <w:pPr>
      <w:outlineLvl w:val="6"/>
    </w:pPr>
  </w:style>
  <w:style w:type="paragraph" w:styleId="TOCHeading">
    <w:name w:val="TOC Heading"/>
    <w:basedOn w:val="Heading1"/>
    <w:next w:val="Normal"/>
    <w:uiPriority w:val="39"/>
    <w:unhideWhenUsed/>
    <w:qFormat/>
    <w:rsid w:val="00AB728C"/>
    <w:pPr>
      <w:spacing w:line="259" w:lineRule="auto"/>
      <w:outlineLvl w:val="9"/>
    </w:pPr>
  </w:style>
  <w:style w:type="paragraph" w:styleId="TOC1">
    <w:name w:val="toc 1"/>
    <w:basedOn w:val="Normal"/>
    <w:next w:val="Normal"/>
    <w:autoRedefine/>
    <w:uiPriority w:val="39"/>
    <w:unhideWhenUsed/>
    <w:rsid w:val="00AB728C"/>
    <w:pPr>
      <w:tabs>
        <w:tab w:val="right" w:leader="dot" w:pos="9344"/>
      </w:tabs>
      <w:spacing w:after="100" w:line="240" w:lineRule="auto"/>
      <w:jc w:val="both"/>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AB728C"/>
    <w:pPr>
      <w:spacing w:after="100" w:line="240" w:lineRule="auto"/>
      <w:ind w:left="238"/>
      <w:jc w:val="both"/>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AB728C"/>
    <w:pPr>
      <w:spacing w:after="100" w:line="240" w:lineRule="auto"/>
      <w:ind w:left="482"/>
      <w:jc w:val="both"/>
    </w:pPr>
    <w:rPr>
      <w:rFonts w:ascii="Times New Roman" w:eastAsiaTheme="minorHAnsi" w:hAnsi="Times New Roman" w:cstheme="minorBidi"/>
      <w:sz w:val="24"/>
      <w:lang w:val="en-US"/>
    </w:rPr>
  </w:style>
  <w:style w:type="paragraph" w:styleId="Caption">
    <w:name w:val="caption"/>
    <w:basedOn w:val="Normal"/>
    <w:next w:val="Normal"/>
    <w:uiPriority w:val="35"/>
    <w:unhideWhenUsed/>
    <w:qFormat/>
    <w:rsid w:val="00AB728C"/>
    <w:pPr>
      <w:spacing w:after="200" w:line="240" w:lineRule="auto"/>
      <w:jc w:val="both"/>
    </w:pPr>
    <w:rPr>
      <w:rFonts w:ascii="Times New Roman" w:eastAsiaTheme="minorHAnsi" w:hAnsi="Times New Roman" w:cstheme="minorBidi"/>
      <w:i/>
      <w:iCs/>
      <w:color w:val="1F497D" w:themeColor="text2"/>
      <w:sz w:val="18"/>
      <w:szCs w:val="18"/>
      <w:lang w:val="en-US"/>
    </w:rPr>
  </w:style>
  <w:style w:type="paragraph" w:styleId="TableofFigures">
    <w:name w:val="table of figures"/>
    <w:basedOn w:val="Normal"/>
    <w:next w:val="Normal"/>
    <w:uiPriority w:val="99"/>
    <w:unhideWhenUsed/>
    <w:rsid w:val="00AB728C"/>
    <w:pPr>
      <w:spacing w:before="240" w:after="0" w:line="360" w:lineRule="auto"/>
      <w:jc w:val="both"/>
    </w:pPr>
    <w:rPr>
      <w:rFonts w:ascii="Times New Roman" w:eastAsiaTheme="minorHAnsi" w:hAnsi="Times New Roman" w:cstheme="minorBidi"/>
      <w:sz w:val="24"/>
      <w:lang w:val="en-US"/>
    </w:rPr>
  </w:style>
  <w:style w:type="paragraph" w:customStyle="1" w:styleId="ref">
    <w:name w:val="ref"/>
    <w:basedOn w:val="Normal"/>
    <w:qFormat/>
    <w:rsid w:val="00AB728C"/>
    <w:pPr>
      <w:spacing w:before="240" w:after="0" w:line="240" w:lineRule="auto"/>
      <w:ind w:left="709" w:hanging="709"/>
      <w:jc w:val="both"/>
    </w:pPr>
    <w:rPr>
      <w:rFonts w:ascii="Times New Roman" w:eastAsiaTheme="minorHAnsi" w:hAnsi="Times New Roman" w:cstheme="minorBidi"/>
      <w:sz w:val="24"/>
      <w:lang w:val="en-US"/>
    </w:rPr>
  </w:style>
  <w:style w:type="paragraph" w:customStyle="1" w:styleId="Default">
    <w:name w:val="Default"/>
    <w:rsid w:val="00AB728C"/>
    <w:pPr>
      <w:autoSpaceDE w:val="0"/>
      <w:autoSpaceDN w:val="0"/>
      <w:adjustRightInd w:val="0"/>
      <w:spacing w:after="0" w:line="240" w:lineRule="auto"/>
    </w:pPr>
    <w:rPr>
      <w:rFonts w:ascii="FS Me Pro" w:hAnsi="FS Me Pro" w:cs="FS Me Pro"/>
      <w:color w:val="000000"/>
      <w:sz w:val="24"/>
      <w:szCs w:val="24"/>
    </w:rPr>
  </w:style>
  <w:style w:type="character" w:customStyle="1" w:styleId="FootnoteTextChar">
    <w:name w:val="Footnote Text Char"/>
    <w:basedOn w:val="DefaultParagraphFont"/>
    <w:link w:val="FootnoteText"/>
    <w:uiPriority w:val="99"/>
    <w:semiHidden/>
    <w:rsid w:val="00AB728C"/>
    <w:rPr>
      <w:rFonts w:ascii="Times New Roman" w:hAnsi="Times New Roman"/>
      <w:sz w:val="20"/>
      <w:szCs w:val="20"/>
    </w:rPr>
  </w:style>
  <w:style w:type="paragraph" w:styleId="FootnoteText">
    <w:name w:val="footnote text"/>
    <w:basedOn w:val="Normal"/>
    <w:link w:val="FootnoteTextChar"/>
    <w:uiPriority w:val="99"/>
    <w:semiHidden/>
    <w:unhideWhenUsed/>
    <w:rsid w:val="00AB728C"/>
    <w:pPr>
      <w:spacing w:after="0" w:line="240" w:lineRule="auto"/>
      <w:jc w:val="both"/>
    </w:pPr>
    <w:rPr>
      <w:rFonts w:ascii="Times New Roman" w:eastAsiaTheme="minorHAnsi" w:hAnsi="Times New Roman" w:cstheme="minorBidi"/>
      <w:sz w:val="20"/>
      <w:szCs w:val="20"/>
      <w:lang w:val="en-US"/>
    </w:rPr>
  </w:style>
  <w:style w:type="paragraph" w:styleId="Bibliography">
    <w:name w:val="Bibliography"/>
    <w:basedOn w:val="Normal"/>
    <w:next w:val="Normal"/>
    <w:uiPriority w:val="37"/>
    <w:unhideWhenUsed/>
    <w:rsid w:val="00AB728C"/>
    <w:pPr>
      <w:spacing w:before="240" w:after="240" w:line="360" w:lineRule="auto"/>
      <w:jc w:val="both"/>
    </w:pPr>
    <w:rPr>
      <w:rFonts w:ascii="Times New Roman" w:eastAsiaTheme="minorHAnsi" w:hAnsi="Times New Roman" w:cstheme="minorBidi"/>
      <w:sz w:val="24"/>
      <w:lang w:val="en-US"/>
    </w:rPr>
  </w:style>
  <w:style w:type="character" w:styleId="UnresolvedMention">
    <w:name w:val="Unresolved Mention"/>
    <w:basedOn w:val="DefaultParagraphFont"/>
    <w:uiPriority w:val="99"/>
    <w:semiHidden/>
    <w:unhideWhenUsed/>
    <w:rsid w:val="001F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4720">
      <w:bodyDiv w:val="1"/>
      <w:marLeft w:val="0"/>
      <w:marRight w:val="0"/>
      <w:marTop w:val="0"/>
      <w:marBottom w:val="0"/>
      <w:divBdr>
        <w:top w:val="none" w:sz="0" w:space="0" w:color="auto"/>
        <w:left w:val="none" w:sz="0" w:space="0" w:color="auto"/>
        <w:bottom w:val="none" w:sz="0" w:space="0" w:color="auto"/>
        <w:right w:val="none" w:sz="0" w:space="0" w:color="auto"/>
      </w:divBdr>
    </w:div>
    <w:div w:id="1519811182">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doi.org/10.2139/ssrn.314924"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1111/twec.1240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econpapers.repec.org/paper/chmwpaper/wp2003-11.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022-1996(03)00081-3" TargetMode="External"/><Relationship Id="rId20" Type="http://schemas.openxmlformats.org/officeDocument/2006/relationships/hyperlink" Target="https://doi.org/10.1177/001316101219694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111/j.1465-7295.2000.tb00021.x" TargetMode="External"/><Relationship Id="rId10" Type="http://schemas.openxmlformats.org/officeDocument/2006/relationships/header" Target="header2.xml"/><Relationship Id="rId19" Type="http://schemas.openxmlformats.org/officeDocument/2006/relationships/hyperlink" Target="https://doi.org/10.2139/ssrn.4750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s://doi.org/10.1016/s0313-5926(11)50018-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o\Downloads\data%20for%20te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a:t>
            </a:r>
            <a:r>
              <a:rPr lang="en-US" baseline="0"/>
              <a:t> 3 GDP growth and FDI growth as GDP, 2001-2021 years</a:t>
            </a:r>
            <a:endParaRPr lang="en-US"/>
          </a:p>
        </c:rich>
      </c:tx>
      <c:layout>
        <c:manualLayout>
          <c:xMode val="edge"/>
          <c:yMode val="edge"/>
          <c:x val="3.0194444444444458E-2"/>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1"/>
          <c:order val="0"/>
          <c:tx>
            <c:strRef>
              <c:f>Sheet2!$E$1</c:f>
              <c:strCache>
                <c:ptCount val="1"/>
                <c:pt idx="0">
                  <c:v>GDP growth</c:v>
                </c:pt>
              </c:strCache>
            </c:strRef>
          </c:tx>
          <c:spPr>
            <a:ln w="28575" cap="rnd">
              <a:solidFill>
                <a:schemeClr val="accent2"/>
              </a:solidFill>
              <a:round/>
            </a:ln>
            <a:effectLst/>
          </c:spPr>
          <c:marker>
            <c:symbol val="none"/>
          </c:marker>
          <c:val>
            <c:numRef>
              <c:f>Sheet2!$E$2:$E$22</c:f>
              <c:numCache>
                <c:formatCode>General</c:formatCode>
                <c:ptCount val="21"/>
                <c:pt idx="0">
                  <c:v>4.8054532725550132</c:v>
                </c:pt>
                <c:pt idx="1">
                  <c:v>5.4738368011959295</c:v>
                </c:pt>
                <c:pt idx="2">
                  <c:v>11.058723193664605</c:v>
                </c:pt>
                <c:pt idx="3">
                  <c:v>5.794496345698505</c:v>
                </c:pt>
                <c:pt idx="4">
                  <c:v>9.58957406160836</c:v>
                </c:pt>
                <c:pt idx="5">
                  <c:v>9.4197706475973604</c:v>
                </c:pt>
                <c:pt idx="6">
                  <c:v>12.578953430897343</c:v>
                </c:pt>
                <c:pt idx="7">
                  <c:v>2.4185716590417172</c:v>
                </c:pt>
                <c:pt idx="8">
                  <c:v>-3.6505136306939363</c:v>
                </c:pt>
                <c:pt idx="9">
                  <c:v>6.2494877678718694</c:v>
                </c:pt>
                <c:pt idx="10">
                  <c:v>7.3999998671419007</c:v>
                </c:pt>
                <c:pt idx="11">
                  <c:v>6.3690083063385998</c:v>
                </c:pt>
                <c:pt idx="12">
                  <c:v>3.6213053519627607</c:v>
                </c:pt>
                <c:pt idx="13">
                  <c:v>4.4319248230907817</c:v>
                </c:pt>
                <c:pt idx="14">
                  <c:v>3.0222073801970311</c:v>
                </c:pt>
                <c:pt idx="15">
                  <c:v>2.9064387800206362</c:v>
                </c:pt>
                <c:pt idx="16">
                  <c:v>4.8426032249658562</c:v>
                </c:pt>
                <c:pt idx="17">
                  <c:v>4.8429198850662658</c:v>
                </c:pt>
                <c:pt idx="18">
                  <c:v>4.9823504751110619</c:v>
                </c:pt>
                <c:pt idx="19">
                  <c:v>-6.760439817055186</c:v>
                </c:pt>
                <c:pt idx="20">
                  <c:v>10.465537197705572</c:v>
                </c:pt>
              </c:numCache>
            </c:numRef>
          </c:val>
          <c:smooth val="0"/>
          <c:extLst>
            <c:ext xmlns:c16="http://schemas.microsoft.com/office/drawing/2014/chart" uri="{C3380CC4-5D6E-409C-BE32-E72D297353CC}">
              <c16:uniqueId val="{00000000-48CB-4491-AA81-8ABB90DEAE37}"/>
            </c:ext>
          </c:extLst>
        </c:ser>
        <c:ser>
          <c:idx val="2"/>
          <c:order val="1"/>
          <c:tx>
            <c:strRef>
              <c:f>Sheet2!$F$1</c:f>
              <c:strCache>
                <c:ptCount val="1"/>
                <c:pt idx="0">
                  <c:v>FDI as GDP</c:v>
                </c:pt>
              </c:strCache>
            </c:strRef>
          </c:tx>
          <c:spPr>
            <a:ln w="28575" cap="rnd">
              <a:solidFill>
                <a:schemeClr val="accent3"/>
              </a:solidFill>
              <a:round/>
            </a:ln>
            <a:effectLst/>
          </c:spPr>
          <c:marker>
            <c:symbol val="none"/>
          </c:marker>
          <c:val>
            <c:numRef>
              <c:f>Sheet2!$F$2:$F$22</c:f>
              <c:numCache>
                <c:formatCode>General</c:formatCode>
                <c:ptCount val="21"/>
                <c:pt idx="0">
                  <c:v>3.4127319683052915</c:v>
                </c:pt>
                <c:pt idx="1">
                  <c:v>4.7234888520052376</c:v>
                </c:pt>
                <c:pt idx="2">
                  <c:v>8.3903616661640221</c:v>
                </c:pt>
                <c:pt idx="3">
                  <c:v>9.6136162312955431</c:v>
                </c:pt>
                <c:pt idx="4">
                  <c:v>7.0677508673530163</c:v>
                </c:pt>
                <c:pt idx="5">
                  <c:v>15.124038998817765</c:v>
                </c:pt>
                <c:pt idx="6">
                  <c:v>18.599296476848203</c:v>
                </c:pt>
                <c:pt idx="7">
                  <c:v>12.522187762048286</c:v>
                </c:pt>
                <c:pt idx="8">
                  <c:v>6.1373254330062101</c:v>
                </c:pt>
                <c:pt idx="9">
                  <c:v>7.5218436068889503</c:v>
                </c:pt>
                <c:pt idx="10">
                  <c:v>7.7450863076117233</c:v>
                </c:pt>
                <c:pt idx="11">
                  <c:v>5.8718346646130213</c:v>
                </c:pt>
                <c:pt idx="12">
                  <c:v>6.0881794114760295</c:v>
                </c:pt>
                <c:pt idx="13">
                  <c:v>10.42062747919133</c:v>
                </c:pt>
                <c:pt idx="14">
                  <c:v>11.604406787672527</c:v>
                </c:pt>
                <c:pt idx="15">
                  <c:v>10.961986476421133</c:v>
                </c:pt>
                <c:pt idx="16">
                  <c:v>11.88464766522497</c:v>
                </c:pt>
                <c:pt idx="17">
                  <c:v>7.4157648662771569</c:v>
                </c:pt>
                <c:pt idx="18">
                  <c:v>7.9132347483672145</c:v>
                </c:pt>
                <c:pt idx="19">
                  <c:v>3.4832234990121456</c:v>
                </c:pt>
                <c:pt idx="20">
                  <c:v>6.8030975507673634</c:v>
                </c:pt>
              </c:numCache>
            </c:numRef>
          </c:val>
          <c:smooth val="0"/>
          <c:extLst>
            <c:ext xmlns:c16="http://schemas.microsoft.com/office/drawing/2014/chart" uri="{C3380CC4-5D6E-409C-BE32-E72D297353CC}">
              <c16:uniqueId val="{00000001-48CB-4491-AA81-8ABB90DEAE37}"/>
            </c:ext>
          </c:extLst>
        </c:ser>
        <c:dLbls>
          <c:showLegendKey val="0"/>
          <c:showVal val="0"/>
          <c:showCatName val="0"/>
          <c:showSerName val="0"/>
          <c:showPercent val="0"/>
          <c:showBubbleSize val="0"/>
        </c:dLbls>
        <c:smooth val="0"/>
        <c:axId val="1411633135"/>
        <c:axId val="1411633551"/>
      </c:lineChart>
      <c:catAx>
        <c:axId val="14116331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633551"/>
        <c:crosses val="autoZero"/>
        <c:auto val="1"/>
        <c:lblAlgn val="ctr"/>
        <c:lblOffset val="100"/>
        <c:noMultiLvlLbl val="0"/>
      </c:catAx>
      <c:valAx>
        <c:axId val="141163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63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BDA6F26245C7BEA14087967313CC"/>
        <w:category>
          <w:name w:val="General"/>
          <w:gallery w:val="placeholder"/>
        </w:category>
        <w:types>
          <w:type w:val="bbPlcHdr"/>
        </w:types>
        <w:behaviors>
          <w:behavior w:val="content"/>
        </w:behaviors>
        <w:guid w:val="{E798925D-38B4-49B4-88D6-E9EDDB681E72}"/>
      </w:docPartPr>
      <w:docPartBody>
        <w:p w:rsidR="00590CE6" w:rsidRDefault="00FE7AEF" w:rsidP="00FE7AEF">
          <w:pPr>
            <w:pStyle w:val="82C9BDA6F26245C7BEA14087967313CC"/>
          </w:pPr>
          <w:r w:rsidRPr="00A73F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S Me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EF"/>
    <w:rsid w:val="00226794"/>
    <w:rsid w:val="00590CE6"/>
    <w:rsid w:val="00DA5CDA"/>
    <w:rsid w:val="00FE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AEF"/>
    <w:rPr>
      <w:color w:val="808080"/>
    </w:rPr>
  </w:style>
  <w:style w:type="paragraph" w:customStyle="1" w:styleId="82C9BDA6F26245C7BEA14087967313CC">
    <w:name w:val="82C9BDA6F26245C7BEA14087967313CC"/>
    <w:rsid w:val="00FE7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Ant15</b:Tag>
    <b:SourceType>Book</b:SourceType>
    <b:Guid>{AD0BA040-A4A8-44E7-AD25-F86CE232A712}</b:Guid>
    <b:Title>Financial Markets and Institutions</b:Title>
    <b:Year>2015</b:Year>
    <b:Publisher>Mc Graw Hill Education</b:Publisher>
    <b:City>New York</b:City>
    <b:Author>
      <b:Author>
        <b:NameList>
          <b:Person>
            <b:Last>Saunders</b:Last>
            <b:First>Anthony</b:First>
          </b:Person>
          <b:Person>
            <b:Last>Cornett</b:Last>
            <b:First>Marcia</b:First>
            <b:Middle>Millon</b:Middle>
          </b:Person>
        </b:NameList>
      </b:Author>
    </b:Author>
    <b:RefOrder>1</b:RefOrder>
  </b:Source>
  <b:Source>
    <b:Tag>Hen20</b:Tag>
    <b:SourceType>Book</b:SourceType>
    <b:Guid>{38699169-C2CF-4E47-9F0C-E5E07478CA67}</b:Guid>
    <b:Author>
      <b:Author>
        <b:NameList>
          <b:Person>
            <b:Last>Greuning</b:Last>
            <b:First>Hennie</b:First>
            <b:Middle>van</b:Middle>
          </b:Person>
          <b:Person>
            <b:Last>Bratanovic</b:Last>
            <b:First>Sonja</b:First>
            <b:Middle>Brajovic</b:Middle>
          </b:Person>
        </b:NameList>
      </b:Author>
    </b:Author>
    <b:Title>Analyzing Banking Risk</b:Title>
    <b:Year>2020</b:Year>
    <b:City>Washington</b:City>
    <b:Publisher>World Bank Group</b:Publisher>
    <b:RefOrder>2</b:RefOrder>
  </b:Source>
  <b:Source>
    <b:Tag>Tur181</b:Tag>
    <b:SourceType>Report</b:SourceType>
    <b:Guid>{12676DA3-0722-45B6-B466-AB1F21C0C392}</b:Guid>
    <b:Author>
      <b:Author>
        <b:NameList>
          <b:Person>
            <b:Last>Tursoy</b:Last>
            <b:First>Turgut</b:First>
          </b:Person>
        </b:NameList>
      </b:Author>
    </b:Author>
    <b:Title>Risk Management Process in Banking Industry</b:Title>
    <b:Year>2018</b:Year>
    <b:Publisher>MPRA, University Library of Munich</b:Publisher>
    <b:City>Munich</b:City>
    <b:RefOrder>3</b:RefOrder>
  </b:Source>
  <b:Source>
    <b:Tag>God04</b:Tag>
    <b:SourceType>Report</b:SourceType>
    <b:Guid>{973B778F-370F-4BB6-B11D-BE9D9AE81BF8}</b:Guid>
    <b:Author>
      <b:Author>
        <b:NameList>
          <b:Person>
            <b:Last>Goddard et al.</b:Last>
          </b:Person>
        </b:NameList>
      </b:Author>
    </b:Author>
    <b:Title>The profitability of European banks: A cross-sectional and dynamic panel analysis</b:Title>
    <b:Year>2004</b:Year>
    <b:Publisher>The Manchester School</b:Publisher>
    <b:City>Manchester</b:City>
    <b:RefOrder>4</b:RefOrder>
  </b:Source>
  <b:Source>
    <b:Tag>Pas07</b:Tag>
    <b:SourceType>JournalArticle</b:SourceType>
    <b:Guid>{831D7081-1471-4F20-AE77-6520B70CC2A7}</b:Guid>
    <b:Author>
      <b:Author>
        <b:NameList>
          <b:Person>
            <b:Last>Pasiouras</b:Last>
            <b:First>Fotios</b:First>
          </b:Person>
          <b:Person>
            <b:Last>Kosmidou</b:Last>
            <b:First>Kyriaki</b:First>
          </b:Person>
        </b:NameList>
      </b:Author>
    </b:Author>
    <b:Title>Factors influencing the profitability of domestic and foreign commercial banks in the European Union</b:Title>
    <b:Year>2007</b:Year>
    <b:Publisher>Elsevier</b:Publisher>
    <b:JournalName>Research in International Business and Finance</b:JournalName>
    <b:Pages>222-237</b:Pages>
    <b:RefOrder>5</b:RefOrder>
  </b:Source>
  <b:Source>
    <b:Tag>Mey00</b:Tag>
    <b:SourceType>ConferenceProceedings</b:SourceType>
    <b:Guid>{AE2D650F-A459-483F-9111-94E206FAABAF}</b:Guid>
    <b:Author>
      <b:Author>
        <b:NameList>
          <b:Person>
            <b:Last>Meyer</b:Last>
            <b:First>Laurence</b:First>
            <b:Middle>H</b:Middle>
          </b:Person>
        </b:NameList>
      </b:Author>
    </b:Author>
    <b:Title>Why risk management is important for global financial institutions</b:Title>
    <b:Year>2000</b:Year>
    <b:City>bangkok</b:City>
    <b:Pages>1</b:Pages>
    <b:ConferenceName>Bank of Thailand Symposium</b:ConferenceName>
    <b:RefOrder>6</b:RefOrder>
  </b:Source>
  <b:Source>
    <b:Tag>Ngu19</b:Tag>
    <b:SourceType>Book</b:SourceType>
    <b:Guid>{CAAF2D98-A13C-4F6F-ADFF-AEF232EEC09C}</b:Guid>
    <b:Title>Perspectives on Risk, Assessment and Management Paradigms</b:Title>
    <b:Year>2019</b:Year>
    <b:Publisher>IntechOpen</b:Publisher>
    <b:City>City</b:City>
    <b:Author>
      <b:Author>
        <b:NameList>
          <b:Person>
            <b:Last>Quang</b:Last>
            <b:First>Nguyen</b:First>
            <b:Middle>Thi Thieu</b:Middle>
          </b:Person>
          <b:Person>
            <b:Last>Gan</b:Last>
            <b:First>Christopher</b:First>
          </b:Person>
        </b:NameList>
      </b:Author>
    </b:Author>
    <b:RefOrder>7</b:RefOrder>
  </b:Source>
  <b:Source>
    <b:Tag>Tur182</b:Tag>
    <b:SourceType>Book</b:SourceType>
    <b:Guid>{B9B0D2CD-EB37-490E-9B5F-64216EC512E3}</b:Guid>
    <b:Title>Risk Management Process in Banking Industry</b:Title>
    <b:Year>2018</b:Year>
    <b:Publisher>MRPA</b:Publisher>
    <b:Author>
      <b:Author>
        <b:NameList>
          <b:Person>
            <b:Last>Tursoy</b:Last>
            <b:First>Turgut</b:First>
          </b:Person>
        </b:NameList>
      </b:Author>
    </b:Author>
    <b:City>Munich</b:City>
    <b:RefOrder>8</b:RefOrder>
  </b:Source>
  <b:Source>
    <b:Tag>Joh181</b:Tag>
    <b:SourceType>Book</b:SourceType>
    <b:Guid>{F3796803-E709-4FD6-9B5E-CB70121DA684}</b:Guid>
    <b:Author>
      <b:Author>
        <b:NameList>
          <b:Person>
            <b:Last>Hull</b:Last>
            <b:First>John</b:First>
            <b:Middle>C.</b:Middle>
          </b:Person>
        </b:NameList>
      </b:Author>
    </b:Author>
    <b:Title>Risk Management and Financial Institutions</b:Title>
    <b:Year>2018</b:Year>
    <b:City>New Jersey</b:City>
    <b:Publisher>John Wiley &amp; Sons, inc.</b:Publisher>
    <b:RefOrder>9</b:RefOrder>
  </b:Source>
  <b:Source>
    <b:Tag>Nat19</b:Tag>
    <b:SourceType>Report</b:SourceType>
    <b:Guid>{7256A9DC-B5B2-4CFD-99DB-A4EC8EC48062}</b:Guid>
    <b:Title>Bank profitability, leverage constraints, and risk-taking</b:Title>
    <b:Year>2019</b:Year>
    <b:City>Frankfurt</b:City>
    <b:Publisher>Deutsche Bundesbank Eurosystem</b:Publisher>
    <b:Author>
      <b:Author>
        <b:NameList>
          <b:Person>
            <b:Last>Martyanova et al.</b:Last>
          </b:Person>
        </b:NameList>
      </b:Author>
    </b:Author>
    <b:RefOrder>10</b:RefOrder>
  </b:Source>
  <b:Source>
    <b:Tag>Alf19</b:Tag>
    <b:SourceType>Report</b:SourceType>
    <b:Guid>{4CBB0092-DC84-42B0-863E-D13DB0F5BA41}</b:Guid>
    <b:Title>The effectiveness of the basel Accords</b:Title>
    <b:Year>2019</b:Year>
    <b:City>Växjö</b:City>
    <b:Publisher>Linnaeus University</b:Publisher>
    <b:Author>
      <b:Author>
        <b:NameList>
          <b:Person>
            <b:Last>Persson</b:Last>
            <b:First>Alfred</b:First>
          </b:Person>
          <b:Person>
            <b:Last>Marcusson</b:Last>
            <b:First>Petra</b:First>
          </b:Person>
        </b:NameList>
      </b:Author>
    </b:Author>
    <b:RefOrder>11</b:RefOrder>
  </b:Source>
  <b:Source>
    <b:Tag>Phi15</b:Tag>
    <b:SourceType>Report</b:SourceType>
    <b:Guid>{0BB50448-5BF0-4B48-AAEB-09C3B3286CE5}</b:Guid>
    <b:Author>
      <b:Author>
        <b:NameList>
          <b:Person>
            <b:Last>Härle et al.</b:Last>
          </b:Person>
        </b:NameList>
      </b:Author>
    </b:Author>
    <b:Title>The future of bank risk management</b:Title>
    <b:Year>2015</b:Year>
    <b:Publisher>McKinsey and Company</b:Publisher>
    <b:RefOrder>12</b:RefOrder>
  </b:Source>
  <b:Source>
    <b:Tag>Xin21</b:Tag>
    <b:SourceType>JournalArticle</b:SourceType>
    <b:Guid>{55EB7CB1-2205-4B17-A515-CD9DE6D53F08}</b:Guid>
    <b:Title>The effect of revenue diversification on bank profitability and risk during the COVID-19 pandemic</b:Title>
    <b:Year>2021</b:Year>
    <b:Author>
      <b:Author>
        <b:NameList>
          <b:Person>
            <b:Last>Li et al.</b:Last>
          </b:Person>
        </b:NameList>
      </b:Author>
    </b:Author>
    <b:JournalName>Finance Research Letters</b:JournalName>
    <b:Pages>101957</b:Pages>
    <b:RefOrder>13</b:RefOrder>
  </b:Source>
  <b:Source>
    <b:Tag>Ali13</b:Tag>
    <b:SourceType>JournalArticle</b:SourceType>
    <b:Guid>{303AC267-B9F9-4D3A-ADAD-1A45B02D29DB}</b:Guid>
    <b:Author>
      <b:Author>
        <b:NameList>
          <b:Person>
            <b:Last>Mirzaei et al.</b:Last>
          </b:Person>
        </b:NameList>
      </b:Author>
    </b:Author>
    <b:Title>Does market structure matter on banks’ profitability and stability? Emerging vs. advanced economies</b:Title>
    <b:Year>2013</b:Year>
    <b:Publisher>EconPapers</b:Publisher>
    <b:JournalName>Journal of Banking &amp; Finance</b:JournalName>
    <b:Pages>2920-2937</b:Pages>
    <b:RefOrder>14</b:RefOrder>
  </b:Source>
  <b:Source>
    <b:Tag>Phi92</b:Tag>
    <b:SourceType>JournalArticle</b:SourceType>
    <b:Guid>{252CB78A-7A95-4EAA-9854-5DB775A2016B}</b:Guid>
    <b:Author>
      <b:Author>
        <b:NameList>
          <b:Person>
            <b:Last>Molyneux</b:Last>
            <b:First>Philip</b:First>
          </b:Person>
          <b:Person>
            <b:Last>Thornton</b:Last>
            <b:First>John</b:First>
          </b:Person>
        </b:NameList>
      </b:Author>
    </b:Author>
    <b:Title>Determinants of European bank profitability: A note</b:Title>
    <b:JournalName>Journal of Banking &amp; Finance</b:JournalName>
    <b:Year>1992</b:Year>
    <b:Pages>1173–1178</b:Pages>
    <b:RefOrder>15</b:RefOrder>
  </b:Source>
  <b:Source>
    <b:Tag>Yan18</b:Tag>
    <b:SourceType>JournalArticle</b:SourceType>
    <b:Guid>{5CD43D59-1F95-4092-9113-6F9586AEB5A9}</b:Guid>
    <b:Title>How profitability differs between conventional and Islamic banks: A dynamic panel data approach</b:Title>
    <b:Year>2018</b:Year>
    <b:Author>
      <b:Author>
        <b:NameList>
          <b:Person>
            <b:Last>Yanikkaya et al.</b:Last>
          </b:Person>
        </b:NameList>
      </b:Author>
    </b:Author>
    <b:JournalName>Pacific-Basin Finance Journal</b:JournalName>
    <b:Pages> 99-111</b:Pages>
    <b:RefOrder>16</b:RefOrder>
  </b:Source>
  <b:Source>
    <b:Tag>Vec</b:Tag>
    <b:SourceType>Report</b:SourceType>
    <b:Guid>{8C4AAB8E-20BA-492A-B0B1-3C8E01D487BB}</b:Guid>
    <b:Author>
      <b:Author>
        <b:NameList>
          <b:Person>
            <b:Last>Gündüz</b:Last>
            <b:First>Veclal</b:First>
          </b:Person>
        </b:NameList>
      </b:Author>
    </b:Author>
    <b:Title>Risk Management in Baking Sector</b:Title>
    <b:Publisher>Bahçeşehir Cyprus University</b:Publisher>
    <b:Year>2020</b:Year>
    <b:RefOrder>17</b:RefOrder>
  </b:Source>
  <b:Source>
    <b:Tag>Mer21</b:Tag>
    <b:SourceType>JournalArticle</b:SourceType>
    <b:Guid>{0C3F92E1-7729-4622-AADC-8EE352E365FE}</b:Guid>
    <b:Author>
      <b:Author>
        <b:NameList>
          <b:Person>
            <b:Last>Mercan</b:Last>
            <b:First>Metin</b:First>
          </b:Person>
        </b:NameList>
      </b:Author>
    </b:Author>
    <b:Title>DETERMINANT FACTORS INFLUENCE BANK RISK-TAKING: EVIDENCE FROM COMMERCIAL BANK OF GEORGIA</b:Title>
    <b:Year>2021</b:Year>
    <b:Publisher>Globalization and Business</b:Publisher>
    <b:City>Tbilisi</b:City>
    <b:JournalName>Globalization and Business</b:JournalName>
    <b:Pages>59-65</b:Pages>
    <b:RefOrder>18</b:RefOrder>
  </b:Source>
  <b:Source>
    <b:Tag>Asl10</b:Tag>
    <b:SourceType>Report</b:SourceType>
    <b:Guid>{15832668-26EE-4CE5-A550-7772E8D9B87E}</b:Guid>
    <b:Title>Bank Capital: Lessons from the Financial Crisis</b:Title>
    <b:Year>2010</b:Year>
    <b:Author>
      <b:Author>
        <b:NameList>
          <b:Person>
            <b:Last>Asli Demirguc-Kunt et al.</b:Last>
          </b:Person>
        </b:NameList>
      </b:Author>
    </b:Author>
    <b:Publisher>IMF</b:Publisher>
    <b:RefOrder>19</b:RefOrder>
  </b:Source>
  <b:Source>
    <b:Tag>Pat10</b:Tag>
    <b:SourceType>JournalArticle</b:SourceType>
    <b:Guid>{95A1BD61-FC4F-4552-9FDF-1C27EBB53AB7}</b:Guid>
    <b:Author>
      <b:Author>
        <b:NameList>
          <b:Person>
            <b:Last>Behr</b:Last>
            <b:First>Patrick</b:First>
          </b:Person>
          <b:Person>
            <b:Last>Schmidt</b:Last>
            <b:First>Reinhard</b:First>
            <b:Middle>H.</b:Middle>
          </b:Person>
          <b:Person>
            <b:Last>Xie</b:Last>
            <b:First>Ru</b:First>
          </b:Person>
        </b:NameList>
      </b:Author>
    </b:Author>
    <b:Title>Market structure, capital regulation and bank risk taking</b:Title>
    <b:Year>2010</b:Year>
    <b:Publisher>University of Bath</b:Publisher>
    <b:City>Bath</b:City>
    <b:JournalName>Journal of Financial Services Research</b:JournalName>
    <b:Pages>131-158</b:Pages>
    <b:RefOrder>20</b:RefOrder>
  </b:Source>
  <b:Source>
    <b:Tag>SOP15</b:Tag>
    <b:SourceType>Report</b:SourceType>
    <b:Guid>{9E385CF5-D256-490C-B431-883A42679685}</b:Guid>
    <b:Author>
      <b:Author>
        <b:NameList>
          <b:Person>
            <b:Last>GIVA</b:Last>
            <b:First>SOPHIE</b:First>
            <b:Middle>IREEN GAZANI</b:Middle>
          </b:Person>
        </b:NameList>
      </b:Author>
    </b:Author>
    <b:Title>THE RELATIONSHIP BETWEEN RISK AND RETURN FOR FIRMS LISTED AT THE NAIROBI SECURITIES EXCHANGE</b:Title>
    <b:Year>2015</b:Year>
    <b:Publisher>University of Nairobi</b:Publisher>
    <b:City>Nairobi</b:City>
    <b:RefOrder>21</b:RefOrder>
  </b:Source>
  <b:Source>
    <b:Tag>Fra10</b:Tag>
    <b:SourceType>Report</b:SourceType>
    <b:Guid>{636960CF-00BF-4EB4-A58A-8C160A36235D}</b:Guid>
    <b:Author>
      <b:Author>
        <b:NameList>
          <b:Person>
            <b:Last>Fiordelisi</b:Last>
            <b:First>Franco</b:First>
          </b:Person>
          <b:Person>
            <b:Last>Marques-Ibanez</b:Last>
            <b:First>David</b:First>
          </b:Person>
          <b:Person>
            <b:Last>Molyneux</b:Last>
            <b:First>Phil</b:First>
          </b:Person>
        </b:NameList>
      </b:Author>
    </b:Author>
    <b:Title>Efficiency and Risk in European banking</b:Title>
    <b:Year>2010</b:Year>
    <b:Publisher>European Central Bank Eurosystem</b:Publisher>
    <b:City>Frankfurt</b:City>
    <b:RefOrder>22</b:RefOrder>
  </b:Source>
  <b:Source>
    <b:Tag>Cho12</b:Tag>
    <b:SourceType>JournalArticle</b:SourceType>
    <b:Guid>{7A8B6501-0894-46E4-A209-9741DB13FFA7}</b:Guid>
    <b:Author>
      <b:Author>
        <b:NameList>
          <b:Person>
            <b:Last>Chortareas et al.</b:Last>
          </b:Person>
        </b:NameList>
      </b:Author>
    </b:Author>
    <b:Title>Bank Supervision, Regulation, and Efficiency: Evidence from the European Union</b:Title>
    <b:Year>2012</b:Year>
    <b:Publisher>Journal of Financial Stability</b:Publisher>
    <b:JournalName>Journal of Financial Stability</b:JournalName>
    <b:Pages>292-302</b:Pages>
    <b:RefOrder>23</b:RefOrder>
  </b:Source>
  <b:Source>
    <b:Tag>Bar13</b:Tag>
    <b:SourceType>JournalArticle</b:SourceType>
    <b:Guid>{D2B1FE4D-7625-4C8B-9084-452BD5799438}</b:Guid>
    <b:Author>
      <b:Author>
        <b:NameList>
          <b:Person>
            <b:Last>al.</b:Last>
            <b:First>Barth</b:First>
            <b:Middle>et</b:Middle>
          </b:Person>
        </b:NameList>
      </b:Author>
    </b:Author>
    <b:Title>Do bank regulation, supervision and monitoring enhance or impede bank efficiency?</b:Title>
    <b:JournalName>Journal of Banking &amp; Finance</b:JournalName>
    <b:Year>2013</b:Year>
    <b:Pages>2879-2892</b:Pages>
    <b:RefOrder>24</b:RefOrder>
  </b:Source>
  <b:Source>
    <b:Tag>All13</b:Tag>
    <b:SourceType>JournalArticle</b:SourceType>
    <b:Guid>{A21CB6D6-058A-4246-896D-804DB2B1A12B}</b:Guid>
    <b:Author>
      <b:Author>
        <b:NameList>
          <b:Person>
            <b:Last>Berger</b:Last>
            <b:First>Allen</b:First>
            <b:Middle>N.</b:Middle>
          </b:Person>
          <b:Person>
            <b:Last>Bowman</b:Last>
            <b:First>Christa</b:First>
          </b:Person>
        </b:NameList>
      </b:Author>
    </b:Author>
    <b:Title> How does capital affect bank performance during financial crises?</b:Title>
    <b:JournalName>Journal of Financial Economics</b:JournalName>
    <b:Year>2013</b:Year>
    <b:Pages>146-176</b:Pages>
    <b:RefOrder>25</b:RefOrder>
  </b:Source>
  <b:Source>
    <b:Tag>Alt07</b:Tag>
    <b:SourceType>Report</b:SourceType>
    <b:Guid>{73430729-7275-45F4-BB5F-25305C67A14F}</b:Guid>
    <b:Title>Examining the Relationships Between Capital, Risk and Efficiency in European Banking</b:Title>
    <b:Year>2007</b:Year>
    <b:Author>
      <b:Author>
        <b:NameList>
          <b:Person>
            <b:Last>Altunbas et al.</b:Last>
          </b:Person>
        </b:NameList>
      </b:Author>
    </b:Author>
    <b:Publisher>Researchgate</b:Publisher>
    <b:RefOrder>26</b:RefOrder>
  </b:Source>
  <b:Source>
    <b:Tag>Fio11</b:Tag>
    <b:SourceType>JournalArticle</b:SourceType>
    <b:Guid>{D915306D-2C4A-40B7-A3FD-F761989AFBB5}</b:Guid>
    <b:Author>
      <b:Author>
        <b:NameList>
          <b:Person>
            <b:Last>Fiordelisi et al.</b:Last>
          </b:Person>
        </b:NameList>
      </b:Author>
    </b:Author>
    <b:Title>Efficiency and Risk in European Banking</b:Title>
    <b:Year>2011</b:Year>
    <b:Publisher>Researchgate</b:Publisher>
    <b:JournalName>Journal of Banking &amp; Finance</b:JournalName>
    <b:Pages>1315-1326</b:Pages>
    <b:RefOrder>27</b:RefOrder>
  </b:Source>
  <b:Source>
    <b:Tag>Mon21</b:Tag>
    <b:SourceType>Report</b:SourceType>
    <b:Guid>{C7CA4C69-87EA-4C64-A0D1-63A8A638BE60}</b:Guid>
    <b:Author>
      <b:Author>
        <b:NameList>
          <b:Person>
            <b:Last>Monnet et al.</b:Last>
          </b:Person>
        </b:NameList>
      </b:Author>
    </b:Author>
    <b:Title>Central Bank Account for All: Efficiency and Risk Taking</b:Title>
    <b:Year>2021</b:Year>
    <b:Publisher>Swiss National Bank</b:Publisher>
    <b:RefOrder>28</b:RefOrder>
  </b:Source>
  <b:Source>
    <b:Tag>Kee90</b:Tag>
    <b:SourceType>JournalArticle</b:SourceType>
    <b:Guid>{FD926717-9BB2-4171-A120-97D611503995}</b:Guid>
    <b:Author>
      <b:Author>
        <b:NameList>
          <b:Person>
            <b:Last>Keeley</b:Last>
            <b:First>Michael</b:First>
            <b:Middle>C.</b:Middle>
          </b:Person>
        </b:NameList>
      </b:Author>
    </b:Author>
    <b:Title>Deposit Insurance, Risk, and Market Power in Banking</b:Title>
    <b:Year>1990</b:Year>
    <b:Publisher>American Economic Review</b:Publisher>
    <b:JournalName>American Economic Review</b:JournalName>
    <b:Pages>1183-1200</b:Pages>
    <b:RefOrder>29</b:RefOrder>
  </b:Source>
  <b:Source>
    <b:Tag>Dem96</b:Tag>
    <b:SourceType>JournalArticle</b:SourceType>
    <b:Guid>{0711FED7-43B5-4A6D-9D81-AA2C8E9075A7}</b:Guid>
    <b:Author>
      <b:Author>
        <b:NameList>
          <b:Person>
            <b:Last>Demsetz et al.</b:Last>
          </b:Person>
        </b:NameList>
      </b:Author>
    </b:Author>
    <b:Title>Banks with Something to Lose: The Disciplinary Role of the Franchise Value</b:Title>
    <b:JournalName>Federal Reserve Bank of New York Economic Policy Review</b:JournalName>
    <b:Year>1996</b:Year>
    <b:Pages> 1-14</b:Pages>
    <b:RefOrder>30</b:RefOrder>
  </b:Source>
  <b:Source>
    <b:Tag>Ber95</b:Tag>
    <b:SourceType>Report</b:SourceType>
    <b:Guid>{9F827AA6-A20C-46D0-A0DB-946F47B4ABD6}</b:Guid>
    <b:Author>
      <b:Author>
        <b:NameList>
          <b:Person>
            <b:Last>Berger et al.</b:Last>
          </b:Person>
        </b:NameList>
      </b:Author>
    </b:Author>
    <b:Title>The Role of Capital in Financial Institutions</b:Title>
    <b:Year>1995</b:Year>
    <b:Publisher>Wharton</b:Publisher>
    <b:RefOrder>31</b:RefOrder>
  </b:Source>
  <b:Source>
    <b:Tag>Boy05</b:Tag>
    <b:SourceType>JournalArticle</b:SourceType>
    <b:Guid>{075C0B0B-D882-4799-98AB-FE5BB3A9CE95}</b:Guid>
    <b:Author>
      <b:Author>
        <b:NameList>
          <b:Person>
            <b:Last>Boyd</b:Last>
            <b:First>John</b:First>
            <b:Middle>H.</b:Middle>
          </b:Person>
          <b:Person>
            <b:Last>Nicoló</b:Last>
            <b:First>Gianni</b:First>
            <b:Middle>De</b:Middle>
          </b:Person>
        </b:NameList>
      </b:Author>
    </b:Author>
    <b:Title>The Theory of Bank Risk-Taking and Competition Revisited</b:Title>
    <b:Year>2005</b:Year>
    <b:JournalName>The Journal of Finance</b:JournalName>
    <b:Pages>1329-1343</b:Pages>
    <b:RefOrder>32</b:RefOrder>
  </b:Source>
  <b:Source>
    <b:Tag>Hen201</b:Tag>
    <b:SourceType>Book</b:SourceType>
    <b:Guid>{4BD7877E-CCA9-459D-B0EB-C482F9F5163D}</b:Guid>
    <b:Title>Analyzing Banking Risk</b:Title>
    <b:Year>2020</b:Year>
    <b:Author>
      <b:Author>
        <b:NameList>
          <b:Person>
            <b:Last>Greuning</b:Last>
            <b:First>Hennie</b:First>
            <b:Middle>van</b:Middle>
          </b:Person>
          <b:Person>
            <b:Last>Bratanovic</b:Last>
            <b:First>Sonja</b:First>
            <b:Middle>Brajovic</b:Middle>
          </b:Person>
        </b:NameList>
      </b:Author>
    </b:Author>
    <b:City>Washington</b:City>
    <b:Publisher>World Bank Group</b:Publisher>
    <b:RefOrder>33</b:RefOrder>
  </b:Source>
  <b:Source>
    <b:Tag>FIN07</b:Tag>
    <b:SourceType>Report</b:SourceType>
    <b:Guid>{F652843D-32F3-454D-9C71-F91B82DA7DB1}</b:Guid>
    <b:Title>Financial Stability Review</b:Title>
    <b:Year>2007</b:Year>
    <b:City>Frankfurt</b:City>
    <b:Publisher>European Central bank Eurosystem</b:Publisher>
    <b:RefOrder>34</b:RefOrder>
  </b:Source>
  <b:Source>
    <b:Tag>DeY01</b:Tag>
    <b:SourceType>JournalArticle</b:SourceType>
    <b:Guid>{8C069B1C-2063-4F27-90A8-BE81B1520430}</b:Guid>
    <b:Author>
      <b:Author>
        <b:NameList>
          <b:Person>
            <b:Last>DeYoung</b:Last>
            <b:First>Robert</b:First>
          </b:Person>
          <b:Person>
            <b:Last>Roland</b:Last>
            <b:First>Karin</b:First>
            <b:Middle>P.</b:Middle>
          </b:Person>
        </b:NameList>
      </b:Author>
    </b:Author>
    <b:Title>Product mix and earnings volatility at commercial banks: Evidence from a degree of total leverage model</b:Title>
    <b:Year>2001</b:Year>
    <b:JournalName>Journal of Financial Intermediation</b:JournalName>
    <b:Pages>54–84</b:Pages>
    <b:RefOrder>35</b:RefOrder>
  </b:Source>
  <b:Source>
    <b:Tag>Kev05</b:Tag>
    <b:SourceType>Report</b:SourceType>
    <b:Guid>{36059F9F-0E8C-4652-83D5-2ACA3B95EA13}</b:Guid>
    <b:Title>Bank Risk and Revenue Diversification: An Assessment of Using Equity Returns </b:Title>
    <b:Year>2005</b:Year>
    <b:Author>
      <b:Author>
        <b:NameList>
          <b:Person>
            <b:Last>Stiroh</b:Last>
            <b:First>Kevin</b:First>
            <b:Middle>J.</b:Middle>
          </b:Person>
        </b:NameList>
      </b:Author>
    </b:Author>
    <b:Publisher>Bank for International Settlements</b:Publisher>
    <b:City>New York</b:City>
    <b:RefOrder>36</b:RefOrder>
  </b:Source>
  <b:Source>
    <b:Tag>Ala00</b:Tag>
    <b:SourceType>Report</b:SourceType>
    <b:Guid>{B8809152-3D2D-4073-A7E4-ADC0F52AD39E}</b:Guid>
    <b:Author>
      <b:Author>
        <b:NameList>
          <b:Person>
            <b:Last>Reichert</b:Last>
            <b:First>Alan</b:First>
            <b:Middle>K.</b:Middle>
          </b:Person>
          <b:Person>
            <b:Last>Wall</b:Last>
            <b:First>Larry</b:First>
            <b:Middle>D.</b:Middle>
          </b:Person>
        </b:NameList>
      </b:Author>
    </b:Author>
    <b:Title>The Potential forPortfolio Diversificationin Financial Services</b:Title>
    <b:Year>2000</b:Year>
    <b:Publisher>ResearchGate</b:Publisher>
    <b:RefOrder>37</b:RefOrder>
  </b:Source>
  <b:Source>
    <b:Tag>Reb97</b:Tag>
    <b:SourceType>JournalArticle</b:SourceType>
    <b:Guid>{0A824944-D236-4AB3-BF6A-F5D07B31257B}</b:Guid>
    <b:Title>Diversification, Size, and Risk at Bank Holding Companies</b:Title>
    <b:Year>1997</b:Year>
    <b:Author>
      <b:Author>
        <b:NameList>
          <b:Person>
            <b:Last>Demsetz</b:Last>
            <b:First>Rebecca</b:First>
            <b:Middle>S.</b:Middle>
          </b:Person>
          <b:Person>
            <b:Last>Strahan</b:Last>
            <b:First>Philip</b:First>
            <b:Middle>E.</b:Middle>
          </b:Person>
        </b:NameList>
      </b:Author>
    </b:Author>
    <b:JournalName>Journal of Money, Credit and Banking</b:JournalName>
    <b:Pages>300-313</b:Pages>
    <b:RefOrder>38</b:RefOrder>
  </b:Source>
  <b:Source>
    <b:Tag>McA93</b:Tag>
    <b:SourceType>JournalArticle</b:SourceType>
    <b:Guid>{129B5332-0BCD-4CA5-AA0A-025EF95EEC43}</b:Guid>
    <b:Title>Resolving the scale efficiency puzzle in banking</b:Title>
    <b:JournalName>Journal of banking and Finance</b:JournalName>
    <b:Year>1993</b:Year>
    <b:Pages>389–405</b:Pages>
    <b:Author>
      <b:Author>
        <b:NameList>
          <b:Person>
            <b:Last>McAllister</b:Last>
            <b:First>Patrick</b:First>
            <b:Middle>H.</b:Middle>
          </b:Person>
          <b:Person>
            <b:Last>McManus</b:Last>
            <b:First>Douglas</b:First>
          </b:Person>
        </b:NameList>
      </b:Author>
    </b:Author>
    <b:RefOrder>39</b:RefOrder>
  </b:Source>
  <b:Source>
    <b:Tag>Fra12</b:Tag>
    <b:SourceType>JournalArticle</b:SourceType>
    <b:Guid>{429DDEC1-6D70-4EEB-BD14-D912E1DA6182}</b:Guid>
    <b:Author>
      <b:Author>
        <b:NameList>
          <b:Person>
            <b:Last>Vallascas</b:Last>
            <b:First>Francesco</b:First>
          </b:Person>
          <b:Person>
            <b:Last>Keasey</b:Last>
            <b:First>Kevin</b:First>
          </b:Person>
        </b:NameList>
      </b:Author>
    </b:Author>
    <b:Title>Bank resilience to systemic shocks and the stability of banking systems: Small is beautiful</b:Title>
    <b:JournalName>Journal of International Money and Finance</b:JournalName>
    <b:Year>2012</b:Year>
    <b:Pages>1745–76</b:Pages>
    <b:RefOrder>40</b:RefOrder>
  </b:Source>
  <b:Source>
    <b:Tag>Olg08</b:Tag>
    <b:SourceType>Report</b:SourceType>
    <b:Guid>{D67A5280-13D4-4930-A431-0DAD375C5AA8}</b:Guid>
    <b:Title>The impact of macroeconomic factors on risks in the banking sector: a cross-country empirical assessment</b:Title>
    <b:Year>2008</b:Year>
    <b:Author>
      <b:Author>
        <b:NameList>
          <b:Person>
            <b:Last>Bohachova</b:Last>
            <b:First>Olga</b:First>
          </b:Person>
        </b:NameList>
      </b:Author>
    </b:Author>
    <b:Publisher> IAW Diskussionspapiere</b:Publisher>
    <b:City>Tübingen</b:City>
    <b:RefOrder>41</b:RefOrder>
  </b:Source>
  <b:Source>
    <b:Tag>Alt10</b:Tag>
    <b:SourceType>Report</b:SourceType>
    <b:Guid>{06D55ADC-82A6-49B9-A2F7-E3AFE3DB4482}</b:Guid>
    <b:Author>
      <b:Author>
        <b:NameList>
          <b:Person>
            <b:Last>Altunbas et al.</b:Last>
          </b:Person>
        </b:NameList>
      </b:Author>
    </b:Author>
    <b:Title>DOES MONETARY POLICY AFFECT BANK RISK-TAKING?</b:Title>
    <b:Year>2010</b:Year>
    <b:Publisher>European Central Bank Eurosystem</b:Publisher>
    <b:City>Frankfurt</b:City>
    <b:RefOrder>42</b:RefOrder>
  </b:Source>
  <b:Source>
    <b:Tag>Tig11</b:Tag>
    <b:SourceType>JournalArticle</b:SourceType>
    <b:Guid>{0CB53F35-3BEE-463A-8571-E7D0018BA566}</b:Guid>
    <b:Title>Determinants of Bank Distress in Europe: Evidence from a New Data Set</b:Title>
    <b:Year>2011</b:Year>
    <b:Author>
      <b:Author>
        <b:NameList>
          <b:Person>
            <b:Last>Poghosyan</b:Last>
            <b:First>Tigran</b:First>
          </b:Person>
          <b:Person>
            <b:Last>Cihak</b:Last>
            <b:First>Martin</b:First>
          </b:Person>
        </b:NameList>
      </b:Author>
    </b:Author>
    <b:JournalName>Journal of Financial Services Researc</b:JournalName>
    <b:Pages>1-22</b:Pages>
    <b:RefOrder>43</b:RefOrder>
  </b:Source>
  <b:Source>
    <b:Tag>Dim12</b:Tag>
    <b:SourceType>JournalArticle</b:SourceType>
    <b:Guid>{11F0D341-61F8-4830-92A7-B9EAF6238370}</b:Guid>
    <b:Author>
      <b:Author>
        <b:NameList>
          <b:Person>
            <b:Last>Louzis</b:Last>
            <b:First>Dimitrios</b:First>
          </b:Person>
          <b:Person>
            <b:Last>Vouldis</b:Last>
            <b:First>Angelos</b:First>
          </b:Person>
          <b:Person>
            <b:Last>Metaxas</b:Last>
            <b:First>Vasilios</b:First>
            <b:Middle>L.</b:Middle>
          </b:Person>
        </b:NameList>
      </b:Author>
    </b:Author>
    <b:Title>Macroeconomic and bank-specific determinants of non-performing loans in Greece: A comparative study of mortgage, business and consumer loan portfolios</b:Title>
    <b:JournalName>Journal of Banking &amp; Finance</b:JournalName>
    <b:Year>2012</b:Year>
    <b:Pages>1012-1027</b:Pages>
    <b:RefOrder>44</b:RefOrder>
  </b:Source>
  <b:Source>
    <b:Tag>Man11</b:Tag>
    <b:SourceType>JournalArticle</b:SourceType>
    <b:Guid>{77D2CEC4-B920-40CB-8098-84D0289047FC}</b:Guid>
    <b:Author>
      <b:Author>
        <b:NameList>
          <b:Person>
            <b:Last>Delis</b:Last>
            <b:First>Manthos</b:First>
          </b:Person>
          <b:Person>
            <b:Last>Kouretas</b:Last>
            <b:First>Georgios</b:First>
          </b:Person>
        </b:NameList>
      </b:Author>
    </b:Author>
    <b:Title>Interest rates and bank risk-taking</b:Title>
    <b:JournalName>Journal of Banking &amp; Finance</b:JournalName>
    <b:Year>2011</b:Year>
    <b:Pages>840-855</b:Pages>
    <b:RefOrder>45</b:RefOrder>
  </b:Source>
  <b:Source>
    <b:Tag>Shi07</b:Tag>
    <b:SourceType>JournalArticle</b:SourceType>
    <b:Guid>{474C45CE-BD0F-456E-8FA6-98EAE1D5BCA9}</b:Guid>
    <b:Author>
      <b:Author>
        <b:NameList>
          <b:Person>
            <b:Last>Shih et al.</b:Last>
          </b:Person>
        </b:NameList>
      </b:Author>
    </b:Author>
    <b:Title>Comparing the performance of Chinese banks: A principal component approach</b:Title>
    <b:JournalName>China Economic Review</b:JournalName>
    <b:Year>2007</b:Year>
    <b:Pages>15-34</b:Pages>
    <b:RefOrder>46</b:RefOrder>
  </b:Source>
  <b:Source>
    <b:Tag>Fad09</b:Tag>
    <b:SourceType>JournalArticle</b:SourceType>
    <b:Guid>{C9C12BC2-9541-4B8C-9C56-45B88C677002}</b:Guid>
    <b:Author>
      <b:Author>
        <b:NameList>
          <b:Person>
            <b:Last>Sufian</b:Last>
            <b:First>Fadzlan</b:First>
          </b:Person>
          <b:Person>
            <b:Last>Habibullah</b:Last>
            <b:First>Muzafar</b:First>
          </b:Person>
        </b:NameList>
      </b:Author>
    </b:Author>
    <b:Title>Bank specific and macroeconomic determinants of bank profitability: Empirical evidence from the China banking sector</b:Title>
    <b:JournalName>Frontiers of Economics in China</b:JournalName>
    <b:Year>2009</b:Year>
    <b:Pages>274–291</b:Pages>
    <b:RefOrder>47</b:RefOrder>
  </b:Source>
  <b:Source>
    <b:Tag>Raj98</b:Tag>
    <b:SourceType>JournalArticle</b:SourceType>
    <b:Guid>{70677E4B-5F05-45F7-9415-B7F8C6B36268}</b:Guid>
    <b:Author>
      <b:Author>
        <b:NameList>
          <b:Person>
            <b:Last>Aggarwal</b:Last>
            <b:First>Raj</b:First>
          </b:Person>
          <b:Person>
            <b:Last>Jacques</b:Last>
            <b:First>Kevin</b:First>
            <b:Middle>T.</b:Middle>
          </b:Person>
        </b:NameList>
      </b:Author>
    </b:Author>
    <b:Title>Assessing the Impact of Prompt Corrective Action on Bank Capital and Risk</b:Title>
    <b:JournalName>Economic Policy Review</b:JournalName>
    <b:Year>1998</b:Year>
    <b:Pages>23-32</b:Pages>
    <b:RefOrder>48</b:RefOrder>
  </b:Source>
  <b:Source>
    <b:Tag>Aye12</b:Tag>
    <b:SourceType>JournalArticle</b:SourceType>
    <b:Guid>{519421D6-4B64-43A2-8D7F-97B96C243124}</b:Guid>
    <b:Author>
      <b:Author>
        <b:NameList>
          <b:Person>
            <b:Last>Afzal</b:Last>
            <b:First>Ayesha</b:First>
          </b:Person>
          <b:Person>
            <b:Last>Mirza</b:Last>
            <b:First>Nawazish</b:First>
          </b:Person>
        </b:NameList>
      </b:Author>
    </b:Author>
    <b:Title>Interest Rate Spreads in an Emerging Economy: The Case of Pakistan’s Commercial Banking Sector</b:Title>
    <b:JournalName>Economic Research</b:JournalName>
    <b:Year>2012</b:Year>
    <b:Pages>987 - 1004</b:Pages>
    <b:RefOrder>49</b:RefOrder>
  </b:Source>
  <b:Source>
    <b:Tag>Luc14</b:Tag>
    <b:SourceType>Report</b:SourceType>
    <b:Guid>{3C316129-2F40-492E-AD90-EBC8DED09A15}</b:Guid>
    <b:Author>
      <b:Author>
        <b:NameList>
          <b:Person>
            <b:Last>Laeven</b:Last>
            <b:First>Luc</b:First>
          </b:Person>
          <b:Person>
            <b:Last>Ratnovski</b:Last>
            <b:First>Lev</b:First>
          </b:Person>
          <b:Person>
            <b:Last>Tong</b:Last>
            <b:First>Hui</b:First>
          </b:Person>
        </b:NameList>
      </b:Author>
    </b:Author>
    <b:Title>Bank Size and Systemic Risk</b:Title>
    <b:Year>2014</b:Year>
    <b:Publisher>INTERNATIONAL MONETARY FUND</b:Publisher>
    <b:RefOrder>50</b:RefOrder>
  </b:Source>
  <b:Source>
    <b:Tag>Oli10</b:Tag>
    <b:SourceType>JournalArticle</b:SourceType>
    <b:Guid>{B8D0AFAC-CF02-4459-BC7A-6A2EECBAA874}</b:Guid>
    <b:Author>
      <b:Author>
        <b:NameList>
          <b:Person>
            <b:Last>Jonghe</b:Last>
            <b:First>Olivier</b:First>
            <b:Middle>De</b:Middle>
          </b:Person>
        </b:NameList>
      </b:Author>
    </b:Author>
    <b:Title>Back to the basics in banking? A micro-analysis of banking system stability</b:Title>
    <b:JournalName>Journal of Financial Intermediation</b:JournalName>
    <b:Year>2010</b:Year>
    <b:Pages>387-417</b:Pages>
    <b:RefOrder>51</b:RefOrder>
  </b:Source>
  <b:Source>
    <b:Tag>And09</b:Tag>
    <b:SourceType>JournalArticle</b:SourceType>
    <b:Guid>{01FC5A72-66C2-4FD7-BD98-09F8533DFA02}</b:Guid>
    <b:Author>
      <b:Author>
        <b:NameList>
          <b:Person>
            <b:Last>Uhde</b:Last>
            <b:First>André</b:First>
          </b:Person>
          <b:Person>
            <b:Last>Heimeshoff</b:Last>
            <b:First>Ulrich</b:First>
          </b:Person>
        </b:NameList>
      </b:Author>
    </b:Author>
    <b:Title>Consolidation in banking and financial stability in Europe: Empirical evidence</b:Title>
    <b:JournalName>Journal of Banking &amp; Finance</b:JournalName>
    <b:Year>2009</b:Year>
    <b:Pages>1299-1311</b:Pages>
    <b:RefOrder>52</b:RefOrder>
  </b:Source>
  <b:Source>
    <b:Tag>Vic02</b:Tag>
    <b:SourceType>JournalArticle</b:SourceType>
    <b:Guid>{13FB0CD7-33E5-426B-812A-CC6485DF01B6}</b:Guid>
    <b:Author>
      <b:Author>
        <b:NameList>
          <b:Person>
            <b:Last>Salas</b:Last>
            <b:First>Vicente</b:First>
          </b:Person>
          <b:Person>
            <b:Last>Saurina</b:Last>
            <b:First>Jesús</b:First>
          </b:Person>
        </b:NameList>
      </b:Author>
    </b:Author>
    <b:Title>Credit Risk in Two Institutional Regimes: Spanish Commercial and Savings Banks</b:Title>
    <b:JournalName>Journal of Financial Services Research</b:JournalName>
    <b:Year>2002</b:Year>
    <b:Pages>203–224</b:Pages>
    <b:RefOrder>53</b:RefOrder>
  </b:Source>
  <b:Source>
    <b:Tag>Pau99</b:Tag>
    <b:SourceType>JournalArticle</b:SourceType>
    <b:Guid>{81668413-BDD9-43A0-999A-A9042B00C961}</b:Guid>
    <b:Author>
      <b:Author>
        <b:NameList>
          <b:Person>
            <b:Last>Calem</b:Last>
            <b:First>Paul</b:First>
          </b:Person>
          <b:Person>
            <b:Last>Rob</b:Last>
            <b:First>Rafael</b:First>
          </b:Person>
        </b:NameList>
      </b:Author>
    </b:Author>
    <b:Title>The Impact of Capital-Based Regulation on Bank Risk-Taking</b:Title>
    <b:JournalName>Journal of Financial Intermediation</b:JournalName>
    <b:Year>1999</b:Year>
    <b:Pages>317-352</b:Pages>
    <b:RefOrder>54</b:RefOrder>
  </b:Source>
  <b:Source>
    <b:Tag>Ber01</b:Tag>
    <b:SourceType>JournalArticle</b:SourceType>
    <b:Guid>{339588B2-A6C8-4473-BB62-239668CC1B85}</b:Guid>
    <b:Author>
      <b:Author>
        <b:NameList>
          <b:Person>
            <b:Last>Rime</b:Last>
            <b:First>Bertrand</b:First>
          </b:Person>
        </b:NameList>
      </b:Author>
    </b:Author>
    <b:Title>Capital requirements and bank behaviour: Empirical evidence for Switzerland</b:Title>
    <b:JournalName>Journal of Banking &amp; Finance</b:JournalName>
    <b:Year>2001</b:Year>
    <b:Pages>789-805</b:Pages>
    <b:RefOrder>55</b:RefOrder>
  </b:Source>
  <b:Source>
    <b:Tag>Giu07</b:Tag>
    <b:SourceType>JournalArticle</b:SourceType>
    <b:Guid>{31FFA602-ADDC-4F68-B755-D52F9C8B268A}</b:Guid>
    <b:Author>
      <b:Author>
        <b:NameList>
          <b:Person>
            <b:Last>Iannotta</b:Last>
            <b:First>Giuliano</b:First>
          </b:Person>
          <b:Person>
            <b:Last>Nocera</b:Last>
            <b:First>Giacomo</b:First>
          </b:Person>
          <b:Person>
            <b:Last>Sironi</b:Last>
            <b:First>Andrea</b:First>
          </b:Person>
        </b:NameList>
      </b:Author>
    </b:Author>
    <b:Title>Ownership structure, risk and performance in the European banking industry</b:Title>
    <b:JournalName>Journal of Banking &amp; Finance</b:JournalName>
    <b:Year>2007</b:Year>
    <b:Pages>2127-2149</b:Pages>
    <b:RefOrder>56</b:RefOrder>
  </b:Source>
  <b:Source>
    <b:Tag>Jon04</b:Tag>
    <b:SourceType>JournalArticle</b:SourceType>
    <b:Guid>{A765E946-C2EF-4475-99C2-1713228F2DDC}</b:Guid>
    <b:Author>
      <b:Author>
        <b:NameList>
          <b:Person>
            <b:Last>Williams</b:Last>
            <b:First>Jonathan</b:First>
          </b:Person>
        </b:NameList>
      </b:Author>
    </b:Author>
    <b:Title>Determining management behaviour in European banking</b:Title>
    <b:JournalName>Journal of Banking &amp; Finance</b:JournalName>
    <b:Year>2004</b:Year>
    <b:Pages>2427-2460</b:Pages>
    <b:RefOrder>57</b:RefOrder>
  </b:Source>
  <b:Source>
    <b:Tag>Ant00</b:Tag>
    <b:SourceType>JournalArticle</b:SourceType>
    <b:Guid>{C9149431-EAD0-42EE-AA84-D359A0C1B1F3}</b:Guid>
    <b:Author>
      <b:Author>
        <b:NameList>
          <b:Person>
            <b:Last>Saunders</b:Last>
            <b:First>Anthony</b:First>
          </b:Person>
          <b:Person>
            <b:Last>Schumacher</b:Last>
            <b:First>Liliana</b:First>
          </b:Person>
        </b:NameList>
      </b:Author>
    </b:Author>
    <b:Title>The determinants of bank interest rate margins: an international study</b:Title>
    <b:JournalName>Journal of International Money and Finance</b:JournalName>
    <b:Year>2000</b:Year>
    <b:Pages>813-832</b:Pages>
    <b:RefOrder>58</b:RefOrder>
  </b:Source>
  <b:Source>
    <b:Tag>Ber09</b:Tag>
    <b:SourceType>JournalArticle</b:SourceType>
    <b:Guid>{DEBD5D5E-4CF6-4AFA-B1F9-6DB56C575F08}</b:Guid>
    <b:Author>
      <b:Author>
        <b:NameList>
          <b:Person>
            <b:Last>Berger et al.</b:Last>
          </b:Person>
        </b:NameList>
      </b:Author>
    </b:Author>
    <b:Title>Bank Competition and Financial Stability</b:Title>
    <b:JournalName>Journal of Financial Services Research</b:JournalName>
    <b:Year>2009</b:Year>
    <b:Pages>99-118</b:Pages>
    <b:RefOrder>59</b:RefOrder>
  </b:Source>
  <b:Source>
    <b:Tag>San07</b:Tag>
    <b:SourceType>JournalArticle</b:SourceType>
    <b:Guid>{9BE29856-C089-4F4E-B2BE-1D79A6BE850B}</b:Guid>
    <b:Author>
      <b:Author>
        <b:NameList>
          <b:Person>
            <b:Last>Park</b:Last>
            <b:First>Sangkyun</b:First>
          </b:Person>
          <b:Person>
            <b:Last>Peristiani</b:Last>
            <b:First>Stavros</b:First>
          </b:Person>
        </b:NameList>
      </b:Author>
    </b:Author>
    <b:Title>Are bank shareholders enemies of regulators or a potential source of market discipline?</b:Title>
    <b:JournalName>Journal of Banking &amp; Finance</b:JournalName>
    <b:Year>2007</b:Year>
    <b:Pages>2493-2515</b:Pages>
    <b:RefOrder>60</b:RefOrder>
  </b:Source>
  <b:Source>
    <b:Tag>Joh05</b:Tag>
    <b:SourceType>JournalArticle</b:SourceType>
    <b:Guid>{3AE932D9-3FE2-459E-92CC-5C5B00827345}</b:Guid>
    <b:Author>
      <b:Author>
        <b:NameList>
          <b:Person>
            <b:Last>Boyd</b:Last>
            <b:First>John</b:First>
            <b:Middle>H.</b:Middle>
          </b:Person>
          <b:Person>
            <b:Last>Nicoló</b:Last>
            <b:First>Gianni</b:First>
            <b:Middle>De</b:Middle>
          </b:Person>
        </b:NameList>
      </b:Author>
    </b:Author>
    <b:Title>The Theory of Bank Risk Taking and Competition Revisited</b:Title>
    <b:JournalName>The Journal of Finance</b:JournalName>
    <b:Year>2005</b:Year>
    <b:Pages>1329-1343</b:Pages>
    <b:RefOrder>61</b:RefOrder>
  </b:Source>
  <b:Source>
    <b:Tag>Sai07</b:Tag>
    <b:SourceType>JournalArticle</b:SourceType>
    <b:Guid>{0DAD50E1-6EB0-4397-9341-2C8C3FAB04DB}</b:Guid>
    <b:Author>
      <b:Author>
        <b:NameList>
          <b:Person>
            <b:Last>Deng</b:Last>
            <b:First>Saiying</b:First>
          </b:Person>
          <b:Person>
            <b:Last>Elyasiani</b:Last>
            <b:First>Elyas</b:First>
          </b:Person>
          <b:Person>
            <b:Last>Mao</b:Last>
            <b:First>Connie</b:First>
            <b:Middle>X.</b:Middle>
          </b:Person>
        </b:NameList>
      </b:Author>
    </b:Author>
    <b:Title>Diversification and the Cost of Debt of Bank Holding Companies</b:Title>
    <b:JournalName>Journal of Banking and Finance</b:JournalName>
    <b:Year>2007</b:Year>
    <b:Pages>2453-2473</b:Pages>
    <b:RefOrder>62</b:RefOrder>
  </b:Source>
  <b:Source>
    <b:Tag>San071</b:Tag>
    <b:SourceType>JournalArticle</b:SourceType>
    <b:Guid>{6203E982-D969-4548-A95E-C898B859BC22}</b:Guid>
    <b:Author>
      <b:Author>
        <b:NameList>
          <b:Person>
            <b:Last>Valverde</b:Last>
            <b:First>Santiago</b:First>
            <b:Middle>Carbo</b:Middle>
          </b:Person>
          <b:Person>
            <b:Last>Fernández</b:Last>
            <b:First>Francisco</b:First>
            <b:Middle>Rodríguez</b:Middle>
          </b:Person>
        </b:NameList>
      </b:Author>
    </b:Author>
    <b:Title>The determinants of bank margins in European banking</b:Title>
    <b:JournalName>Journal of Banking &amp; Finance</b:JournalName>
    <b:Year>2007</b:Year>
    <b:Pages>2043-2063</b:Pages>
    <b:RefOrder>63</b:RefOrder>
  </b:Source>
  <b:Source>
    <b:Tag>Laz97</b:Tag>
    <b:SourceType>JournalArticle</b:SourceType>
    <b:Guid>{4C735587-88C0-4175-B373-67FD16FA3AB6}</b:Guid>
    <b:Author>
      <b:Author>
        <b:NameList>
          <b:Person>
            <b:Last>Angbazo</b:Last>
            <b:First>Lazarus</b:First>
          </b:Person>
        </b:NameList>
      </b:Author>
    </b:Author>
    <b:Title>Commercial bank net interest margins, default risk, interest-rate risk, and off-balance sheet banking</b:Title>
    <b:JournalName>Journal of Banking &amp; Finance</b:JournalName>
    <b:Year>1997</b:Year>
    <b:Pages>55-87</b:Pages>
    <b:RefOrder>64</b:RefOrder>
  </b:Source>
  <b:Source>
    <b:Tag>Asl101</b:Tag>
    <b:SourceType>JournalArticle</b:SourceType>
    <b:Guid>{6872F6E7-B65A-48DE-8033-5E8FA4EBE81F}</b:Guid>
    <b:Author>
      <b:Author>
        <b:NameList>
          <b:Person>
            <b:Last>Demirguc-Kunt</b:Last>
            <b:First>Asli</b:First>
          </b:Person>
          <b:Person>
            <b:Last>Huizinga</b:Last>
            <b:First>Harry</b:First>
            <b:Middle>P.</b:Middle>
          </b:Person>
        </b:NameList>
      </b:Author>
    </b:Author>
    <b:Title>Bank activity and funding strategies: The impact on risk and returns</b:Title>
    <b:JournalName>Journal of Financial Economics</b:JournalName>
    <b:Year>2010</b:Year>
    <b:Pages>626-650</b:Pages>
    <b:RefOrder>65</b:RefOrder>
  </b:Source>
  <b:Source>
    <b:Tag>Jur08</b:Tag>
    <b:SourceType>JournalArticle</b:SourceType>
    <b:Guid>{BF96930A-BC81-4931-B745-BF75C07347DD}</b:Guid>
    <b:Author>
      <b:Author>
        <b:NameList>
          <b:Person>
            <b:Last>Marcucci</b:Last>
            <b:First>Juri</b:First>
          </b:Person>
          <b:Person>
            <b:Last>Quagliariello</b:Last>
            <b:First>Mario</b:First>
          </b:Person>
        </b:NameList>
      </b:Author>
    </b:Author>
    <b:Title>Is bank portfolio riskiness procyclical?: Evidence from Italy using a vector autoregression</b:Title>
    <b:JournalName>Journal of International Financial Markets, Institutions and Money</b:JournalName>
    <b:Year>2008</b:Year>
    <b:Pages>46-63</b:Pages>
    <b:RefOrder>66</b:RefOrder>
  </b:Source>
  <b:Source>
    <b:Tag>Mej11</b:Tag>
    <b:SourceType>JournalArticle</b:SourceType>
    <b:Guid>{E4F2BF06-86DB-4C6C-A1E6-03C69D52A9B5}</b:Guid>
    <b:Author>
      <b:Author>
        <b:NameList>
          <b:Person>
            <b:Last>Festic</b:Last>
            <b:First>Mejra</b:First>
          </b:Person>
          <b:Person>
            <b:Last>Kavkler</b:Last>
            <b:First>Alenka</b:First>
          </b:Person>
          <b:Person>
            <b:Last>Repina</b:Last>
            <b:First>Sebastijan</b:First>
          </b:Person>
        </b:NameList>
      </b:Author>
    </b:Author>
    <b:Title>The macroeconomic sources of systemic risk in the banking sectors of five new EU member states</b:Title>
    <b:JournalName>Journal of Banking &amp; Finance</b:JournalName>
    <b:Year>2011</b:Year>
    <b:Pages>310-322</b:Pages>
    <b:RefOrder>67</b:RefOrder>
  </b:Source>
  <b:Source>
    <b:Tag>Bol12</b:Tag>
    <b:SourceType>JournalArticle</b:SourceType>
    <b:Guid>{6BDE409B-E5A2-405E-9DBD-D2CA7F6DA314}</b:Guid>
    <b:Author>
      <b:Author>
        <b:NameList>
          <b:Person>
            <b:Last>Bolt et al.</b:Last>
          </b:Person>
        </b:NameList>
      </b:Author>
    </b:Author>
    <b:Title>Bank profitability during recessions</b:Title>
    <b:JournalName>Journal of Banking &amp; Finance</b:JournalName>
    <b:Year>2012</b:Year>
    <b:Pages>2552-2564</b:Pages>
    <b:RefOrder>68</b:RefOrder>
  </b:Source>
  <b:Source>
    <b:Tag>And14</b:Tag>
    <b:SourceType>JournalArticle</b:SourceType>
    <b:Guid>{B1093B29-3C61-49FD-A7E9-3B71E9CE9DC8}</b:Guid>
    <b:Author>
      <b:Author>
        <b:NameList>
          <b:Person>
            <b:Last>Dietrich</b:Last>
            <b:First>Andreas</b:First>
          </b:Person>
          <b:Person>
            <b:Last>Wanzenried</b:Last>
            <b:First>Gabrielle</b:First>
          </b:Person>
        </b:NameList>
      </b:Author>
    </b:Author>
    <b:Title>The determinants of commercial banking profitability in low-, middle-, and high-income countries</b:Title>
    <b:JournalName>The Quarterly Review of Economics and Finance</b:JournalName>
    <b:Year>2014</b:Year>
    <b:Pages>337-354</b:Pages>
    <b:RefOrder>69</b:RefOrder>
  </b:Source>
  <b:Source>
    <b:Tag>Asl99</b:Tag>
    <b:SourceType>JournalArticle</b:SourceType>
    <b:Guid>{56E4042A-8033-4B46-8700-58BE6B5C8903}</b:Guid>
    <b:Author>
      <b:Author>
        <b:NameList>
          <b:Person>
            <b:Last>Demirguc-Kunt</b:Last>
            <b:First>Asli</b:First>
          </b:Person>
          <b:Person>
            <b:Last>Huizinga</b:Last>
            <b:First>Harry</b:First>
          </b:Person>
        </b:NameList>
      </b:Author>
    </b:Author>
    <b:Title>Determinants of Commercial Bank Interest Margins and Profitability: Some International Evidence</b:Title>
    <b:JournalName>The World Bank Economic Review</b:JournalName>
    <b:Year>1999</b:Year>
    <b:Pages>379-408</b:Pages>
    <b:RefOrder>70</b:RefOrder>
  </b:Source>
  <b:Source>
    <b:Tag>Arp01</b:Tag>
    <b:SourceType>BookSection</b:SourceType>
    <b:Guid>{6ABCAF70-2395-4DAB-9666-6B64C5EC8F82}</b:Guid>
    <b:Author>
      <b:Author>
        <b:NameList>
          <b:Person>
            <b:Last>Arpa</b:Last>
            <b:First>Markus</b:First>
          </b:Person>
          <b:Person>
            <b:Last>Giulini</b:Last>
            <b:First>Irene</b:First>
          </b:Person>
          <b:Person>
            <b:Last>Ittner</b:Last>
            <b:First>Andreas</b:First>
          </b:Person>
          <b:Person>
            <b:Last>Pauer</b:Last>
            <b:First>Franz</b:First>
          </b:Person>
        </b:NameList>
      </b:Author>
      <b:BookAuthor>
        <b:NameList>
          <b:Person>
            <b:Last>Arpa</b:Last>
            <b:First>Markus</b:First>
          </b:Person>
          <b:Person>
            <b:Last>Giulini</b:Last>
            <b:First>Irene</b:First>
          </b:Person>
          <b:Person>
            <b:Last>Ittner</b:Last>
            <b:First>Andreas</b:First>
          </b:Person>
          <b:Person>
            <b:Last>Pauer</b:Last>
            <b:First>Franz</b:First>
          </b:Person>
        </b:NameList>
      </b:BookAuthor>
    </b:Author>
    <b:Title>The influence of macroeconomic developments on Austrian banks: implications for banking supervision</b:Title>
    <b:Year>2001</b:Year>
    <b:Pages>91-116</b:Pages>
    <b:Publisher>Bank for International Settlements</b:Publisher>
    <b:BookTitle> Marrying the macro- and micro-prudential dimensions of financial stability</b:BookTitle>
    <b:RefOrder>71</b:RefOrder>
  </b:Source>
  <b:Source>
    <b:Tag>Iva05</b:Tag>
    <b:SourceType>Report</b:SourceType>
    <b:Guid>{CC59A186-28AF-4340-911C-4030C074D15E}</b:Guid>
    <b:Title>Effects of Macroeconomic Shocks to the Quality of the Aggregate Loan Portfolio</b:Title>
    <b:Year>2005</b:Year>
    <b:City>Prague</b:City>
    <b:Publisher>Czech National Bank</b:Publisher>
    <b:Author>
      <b:Author>
        <b:NameList>
          <b:Person>
            <b:Last>Baboucek</b:Last>
            <b:First>Ivan</b:First>
          </b:Person>
          <b:Person>
            <b:Last>Jancar</b:Last>
            <b:First>Martin</b:First>
          </b:Person>
        </b:NameList>
      </b:Author>
    </b:Author>
    <b:RefOrder>72</b:RefOrder>
  </b:Source>
  <b:Source>
    <b:Tag>Ira18</b:Tag>
    <b:SourceType>Report</b:SourceType>
    <b:Guid>{0AF8D629-126D-4131-AA49-AC4BFB67986A}</b:Guid>
    <b:Author>
      <b:Author>
        <b:NameList>
          <b:Person>
            <b:Last>Chelidze</b:Last>
            <b:First>Irakli</b:First>
          </b:Person>
        </b:NameList>
      </b:Author>
    </b:Author>
    <b:Title>Modern Methods of Credit Risk Assessment</b:Title>
    <b:Year>2018</b:Year>
    <b:Publisher>Georgian-American University LLC</b:Publisher>
    <b:City>Tbilisi</b:City>
    <b:RefOrder>73</b:RefOrder>
  </b:Source>
  <b:Source>
    <b:Tag>Mak10</b:Tag>
    <b:SourceType>InternetSite</b:SourceType>
    <b:Guid>{1B0DE3A1-20C3-4527-93FD-D91B11EF6D96}</b:Guid>
    <b:Title>Banks and Finance</b:Title>
    <b:Year>2010</b:Year>
    <b:Month>July</b:Month>
    <b:Day>5</b:Day>
    <b:InternetSiteTitle>geoeconomics.ge</b:InternetSiteTitle>
    <b:URL>http://geoeconomics.ge/?p=4407</b:URL>
    <b:Author>
      <b:Author>
        <b:NameList>
          <b:Person>
            <b:Last>Ghaniashvili</b:Last>
            <b:First>Maka</b:First>
          </b:Person>
        </b:NameList>
      </b:Author>
    </b:Author>
    <b:RefOrder>74</b:RefOrder>
  </b:Source>
  <b:Source>
    <b:Tag>Eur14</b:Tag>
    <b:SourceType>DocumentFromInternetSite</b:SourceType>
    <b:Guid>{75D53C71-A88E-4B11-8DA3-D013705C2DB8}</b:Guid>
    <b:Title>European and Euro-Atlantic Integration</b:Title>
    <b:Year>2014</b:Year>
    <b:Month>June</b:Month>
    <b:Day>26</b:Day>
    <b:InternetSiteTitle>Ministry of Foreign Affairs of Georgia</b:InternetSiteTitle>
    <b:URL>https://mfa.gov.ge</b:URL>
    <b:RefOrder>75</b:RefOrder>
  </b:Source>
  <b:Source>
    <b:Tag>Fin21</b:Tag>
    <b:SourceType>Report</b:SourceType>
    <b:Guid>{837A7443-D229-4FE2-98F5-FF3DDE3A1EF6}</b:Guid>
    <b:Title>Financial Stability Report</b:Title>
    <b:Year>2021</b:Year>
    <b:Publisher>National Bank of Georgia</b:Publisher>
    <b:City>Tbilisi</b:City>
    <b:RefOrder>76</b:RefOrder>
  </b:Source>
  <b:Source>
    <b:Tag>Lae09</b:Tag>
    <b:SourceType>JournalArticle</b:SourceType>
    <b:Guid>{689347AB-2634-4906-8B80-AD126BC31458}</b:Guid>
    <b:Author>
      <b:Author>
        <b:NameList>
          <b:Person>
            <b:Last>Laeven</b:Last>
            <b:First>Luc</b:First>
          </b:Person>
          <b:Person>
            <b:Last>Levine</b:Last>
            <b:First>Ross</b:First>
          </b:Person>
        </b:NameList>
      </b:Author>
    </b:Author>
    <b:Title>Bank governance, regulation and risk taking</b:Title>
    <b:Year>2009</b:Year>
    <b:Publisher>Journal of Financial Economics</b:Publisher>
    <b:JournalName>Journal of Financial Economics</b:JournalName>
    <b:Pages>259-275</b:Pages>
    <b:RefOrder>80</b:RefOrder>
  </b:Source>
  <b:Source>
    <b:Tag>Ron92</b:Tag>
    <b:SourceType>JournalArticle</b:SourceType>
    <b:Guid>{C909F05F-3209-4947-BC90-86F9BB83AD99}</b:Guid>
    <b:Author>
      <b:Author>
        <b:NameList>
          <b:Person>
            <b:Last>Shrieves</b:Last>
            <b:First>Ronald</b:First>
          </b:Person>
          <b:Person>
            <b:Last>Dahl</b:Last>
            <b:First>Drew</b:First>
          </b:Person>
        </b:NameList>
      </b:Author>
    </b:Author>
    <b:Title>The relationship between risk and capital in commercial banks</b:Title>
    <b:JournalName>Journal of Banking &amp; Finance</b:JournalName>
    <b:Year>1992</b:Year>
    <b:Pages>439-457</b:Pages>
    <b:RefOrder>81</b:RefOrder>
  </b:Source>
  <b:Source>
    <b:Tag>Ayu04</b:Tag>
    <b:SourceType>JournalArticle</b:SourceType>
    <b:Guid>{2145E838-E903-4149-B5BF-EE84E7C10FFB}</b:Guid>
    <b:Author>
      <b:Author>
        <b:NameList>
          <b:Person>
            <b:Last>Ayuso et al.</b:Last>
          </b:Person>
        </b:NameList>
      </b:Author>
    </b:Author>
    <b:Title>Are Capital Buffers Pro-cyclical? Evidence From Spanish Panel Data</b:Title>
    <b:JournalName>Journal of Financial Intermediation</b:JournalName>
    <b:Year>2004</b:Year>
    <b:Pages>249-264</b:Pages>
    <b:RefOrder>82</b:RefOrder>
  </b:Source>
  <b:Source>
    <b:Tag>Gab06</b:Tag>
    <b:SourceType>JournalArticle</b:SourceType>
    <b:Guid>{D59D632C-AC93-40EC-8045-54E0789D9639}</b:Guid>
    <b:Author>
      <b:Author>
        <b:NameList>
          <b:Person>
            <b:Last>Jimenez</b:Last>
            <b:First>Gabriel</b:First>
          </b:Person>
          <b:Person>
            <b:Last>Saurina</b:Last>
            <b:First>Jesús</b:First>
          </b:Person>
        </b:NameList>
      </b:Author>
    </b:Author>
    <b:Title>Credit Cycles, Credit Risk, and Prudential Regulation</b:Title>
    <b:JournalName>International Journal of Central Banking</b:JournalName>
    <b:Year>2006</b:Year>
    <b:RefOrder>83</b:RefOrder>
  </b:Source>
  <b:Source>
    <b:Tag>Boy86</b:Tag>
    <b:SourceType>Report</b:SourceType>
    <b:Guid>{D2544F30-7419-4732-BD11-67BF737A2DD9}</b:Guid>
    <b:Author>
      <b:Author>
        <b:NameList>
          <b:Person>
            <b:Last>Boyd</b:Last>
            <b:First>John</b:First>
            <b:Middle>H.</b:Middle>
          </b:Person>
          <b:Person>
            <b:Last>Graham</b:Last>
            <b:First>Stanley</b:First>
            <b:Middle>L.</b:Middle>
          </b:Person>
        </b:NameList>
      </b:Author>
    </b:Author>
    <b:Title>Risk, regulation, and bank holding company expansion</b:Title>
    <b:Year>1986</b:Year>
    <b:Publisher>Federal Reserve Bank of Minneapolis</b:Publisher>
    <b:RefOrder>84</b:RefOrder>
  </b:Source>
  <b:Source>
    <b:Tag>Bas15</b:Tag>
    <b:SourceType>JournalArticle</b:SourceType>
    <b:Guid>{FBE29BDB-E04A-44F8-B634-7FF235AA9A02}</b:Guid>
    <b:Author>
      <b:Author>
        <b:NameList>
          <b:Person>
            <b:Last>Baselga-Pascual</b:Last>
            <b:First>Laura</b:First>
          </b:Person>
          <b:Person>
            <b:Last>Trujillo-Ponce</b:Last>
            <b:First>Antonio</b:First>
          </b:Person>
          <b:Person>
            <b:Last>Cardone-Riportella</b:Last>
            <b:First>Clara</b:First>
          </b:Person>
        </b:NameList>
      </b:Author>
    </b:Author>
    <b:Title>Factors influencing bank risk in Europe: Evidence from the financial crisis</b:Title>
    <b:Year>2015</b:Year>
    <b:JournalName>The North American Journal of Economics and Finance</b:JournalName>
    <b:Pages>138-166</b:Pages>
    <b:RefOrder>85</b:RefOrder>
  </b:Source>
  <b:Source>
    <b:Tag>Asl13</b:Tag>
    <b:SourceType>JournalArticle</b:SourceType>
    <b:Guid>{C9826D34-939B-4AB4-83A4-C166B2061AF5}</b:Guid>
    <b:Author>
      <b:Author>
        <b:NameList>
          <b:Person>
            <b:Last>Demirguc-Kunt</b:Last>
            <b:First>Asli</b:First>
          </b:Person>
          <b:Person>
            <b:Last>Huizinga</b:Last>
            <b:First>Harry</b:First>
          </b:Person>
        </b:NameList>
      </b:Author>
    </b:Author>
    <b:Title>Are banks too big to fail or too big to save? International evidence from equity prices and CDS spreads</b:Title>
    <b:JournalName>Journal of Banking &amp; Finance</b:JournalName>
    <b:Year>2013</b:Year>
    <b:Pages>875-894</b:Pages>
    <b:RefOrder>86</b:RefOrder>
  </b:Source>
  <b:Source>
    <b:Tag>Thi06</b:Tag>
    <b:SourceType>Report</b:SourceType>
    <b:Guid>{2D793F65-5E62-4412-B128-44BE3C57C69A}</b:Guid>
    <b:Title>Banking on the Principles: Compliance with Basel Core Principles and Bank Soundness</b:Title>
    <b:Year>2006</b:Year>
    <b:Author>
      <b:Author>
        <b:NameList>
          <b:Person>
            <b:Last>Tressel</b:Last>
            <b:First>Thierry</b:First>
          </b:Person>
          <b:Person>
            <b:Last>Detragiache</b:Last>
            <b:First>Enrica</b:First>
          </b:Person>
          <b:Person>
            <b:Last>Demirgüç-Kunt</b:Last>
            <b:First>Asli</b:First>
          </b:Person>
        </b:NameList>
      </b:Author>
    </b:Author>
    <b:Publisher>International Monitary Fund</b:Publisher>
    <b:RefOrder>87</b:RefOrder>
  </b:Source>
  <b:Source>
    <b:Tag>Leo01</b:Tag>
    <b:SourceType>Report</b:SourceType>
    <b:Guid>{1B2583CD-0F44-4EDA-BE6C-5D9AE111B50A}</b:Guid>
    <b:Author>
      <b:Author>
        <b:NameList>
          <b:Person>
            <b:Last>Breiman</b:Last>
            <b:First>Leo</b:First>
          </b:Person>
        </b:NameList>
      </b:Author>
    </b:Author>
    <b:Title>Random Forests</b:Title>
    <b:Year>2001</b:Year>
    <b:Publisher>University of California</b:Publisher>
    <b:City>Berkeley</b:City>
    <b:RefOrder>88</b:RefOrder>
  </b:Source>
  <b:Source>
    <b:Tag>Jer03</b:Tag>
    <b:SourceType>JournalArticle</b:SourceType>
    <b:Guid>{2099145A-1FB0-4695-9DCC-7A389FBFDD21}</b:Guid>
    <b:Title>Multiple additive regression trees with application in epidemiology</b:Title>
    <b:Year>2003</b:Year>
    <b:Author>
      <b:Author>
        <b:NameList>
          <b:Person>
            <b:Last>Friedman</b:Last>
            <b:First>Jerome</b:First>
            <b:Middle>H.</b:Middle>
          </b:Person>
          <b:Person>
            <b:Last>Meulman</b:Last>
            <b:First>Jacqueline</b:First>
            <b:Middle>J.</b:Middle>
          </b:Person>
        </b:NameList>
      </b:Author>
    </b:Author>
    <b:JournalName>Statistics in Medicine</b:JournalName>
    <b:Pages>1365–1381</b:Pages>
    <b:RefOrder>89</b:RefOrder>
  </b:Source>
  <b:Source>
    <b:Tag>Gér16</b:Tag>
    <b:SourceType>JournalArticle</b:SourceType>
    <b:Guid>{B07AA55C-2DB3-4FC9-BCF7-72C74FFDD817}</b:Guid>
    <b:Author>
      <b:Author>
        <b:NameList>
          <b:Person>
            <b:Last>Biau</b:Last>
            <b:First>Gérard</b:First>
          </b:Person>
          <b:Person>
            <b:Last>Scornet</b:Last>
            <b:First>Erwan</b:First>
          </b:Person>
        </b:NameList>
      </b:Author>
    </b:Author>
    <b:Title>A random forest guided tour</b:Title>
    <b:JournalName>TEST: An Official Journal of the Spanish Society of Statistics and Operations Research</b:JournalName>
    <b:Year>2016</b:Year>
    <b:Pages>197-227</b:Pages>
    <b:RefOrder>90</b:RefOrder>
  </b:Source>
  <b:Source>
    <b:Tag>Has09</b:Tag>
    <b:SourceType>Book</b:SourceType>
    <b:Guid>{1D87C3E4-2F66-4AF1-BF7C-9BFAA103ADBF}</b:Guid>
    <b:Title>The Elements of Statistical Learning: Data Mining, Inference, and Prediction, Second Edition (Springer Series in Statistics)</b:Title>
    <b:Year>2009</b:Year>
    <b:Author>
      <b:Author>
        <b:NameList>
          <b:Person>
            <b:Last>Hastie et al.</b:Last>
          </b:Person>
        </b:NameList>
      </b:Author>
    </b:Author>
    <b:City>California</b:City>
    <b:Publisher>Springer</b:Publisher>
    <b:RefOrder>91</b:RefOrder>
  </b:Source>
  <b:Source>
    <b:Tag>Yiz14</b:Tag>
    <b:SourceType>JournalArticle</b:SourceType>
    <b:Guid>{ED5F5000-B4A1-4626-8FF6-A8A18D392099}</b:Guid>
    <b:Title>Ownership structure and risk-taking: Comparative evidence from private and state-controlled banks in China</b:Title>
    <b:Year>2014</b:Year>
    <b:Pages>120-130</b:Pages>
    <b:Author>
      <b:Author>
        <b:NameList>
          <b:Person>
            <b:Last>Dong</b:Last>
            <b:First>Yizhe</b:First>
          </b:Person>
          <b:Person>
            <b:Last>Meng</b:Last>
            <b:First>Chao</b:First>
          </b:Person>
          <b:Person>
            <b:Last>Firth</b:Last>
            <b:First>Michael</b:First>
          </b:Person>
          <b:Person>
            <b:Last>Hou</b:Last>
            <b:First>Wenxuan</b:First>
          </b:Person>
        </b:NameList>
      </b:Author>
    </b:Author>
    <b:JournalName>International Review of Financial Analysis</b:JournalName>
    <b:RefOrder>92</b:RefOrder>
  </b:Source>
  <b:Source>
    <b:Tag>Jia12</b:Tag>
    <b:SourceType>JournalArticle</b:SourceType>
    <b:Guid>{0747D578-CC49-4EC0-9C02-A406F3F2E1C4}</b:Guid>
    <b:Author>
      <b:Author>
        <b:NameList>
          <b:Person>
            <b:Last>Zhang</b:Last>
            <b:First>Jianhua</b:First>
          </b:Person>
          <b:Person>
            <b:Last>Wang</b:Last>
            <b:First>Peng</b:First>
          </b:Person>
          <b:Person>
            <b:Last>Qu</b:Last>
            <b:First>Baozhi</b:First>
          </b:Person>
        </b:NameList>
      </b:Author>
    </b:Author>
    <b:Title>Bank risk taking, efficiency, and law enforcement: Evidence from Chinese city commercial banks</b:Title>
    <b:JournalName>China Economic Review</b:JournalName>
    <b:Year>2012</b:Year>
    <b:Pages>284-295</b:Pages>
    <b:RefOrder>93</b:RefOrder>
  </b:Source>
  <b:Source>
    <b:Tag>Kad09</b:Tag>
    <b:SourceType>JournalArticle</b:SourceType>
    <b:Guid>{E4D4D1BD-2769-4645-BE4D-90B453EB7A23}</b:Guid>
    <b:Author>
      <b:Author>
        <b:NameList>
          <b:Person>
            <b:Last>Männasoo</b:Last>
            <b:First>Kadri</b:First>
          </b:Person>
          <b:Person>
            <b:Last>Mayes</b:Last>
            <b:First>David</b:First>
          </b:Person>
        </b:NameList>
      </b:Author>
    </b:Author>
    <b:Title>Explaining bank distress in Eastern European transition economies</b:Title>
    <b:JournalName>Journal of Banking &amp; Finance</b:JournalName>
    <b:Year>2009</b:Year>
    <b:Pages>244-253</b:Pages>
    <b:RefOrder>94</b:RefOrder>
  </b:Source>
  <b:Source>
    <b:Tag>All97</b:Tag>
    <b:SourceType>JournalArticle</b:SourceType>
    <b:Guid>{CBB98CF9-8091-44FC-9CF1-D0A59CC0E8D4}</b:Guid>
    <b:Author>
      <b:Author>
        <b:NameList>
          <b:Person>
            <b:Last>Berger</b:Last>
            <b:First>Allen</b:First>
            <b:Middle>N.</b:Middle>
          </b:Person>
          <b:Person>
            <b:Last>DeYoung</b:Last>
            <b:First>Robert</b:First>
          </b:Person>
        </b:NameList>
      </b:Author>
    </b:Author>
    <b:Title>Problem Loans and Cost Efficiency in Commercial Banks</b:Title>
    <b:JournalName>Journal of Banking &amp; Finance</b:JournalName>
    <b:Year>1997</b:Year>
    <b:Pages>849-870</b:Pages>
    <b:RefOrder>95</b:RefOrder>
  </b:Source>
  <b:Source>
    <b:Tag>Ham11</b:Tag>
    <b:SourceType>JournalArticle</b:SourceType>
    <b:Guid>{9DEA3152-6503-4516-8F64-B9B99096E32C}</b:Guid>
    <b:Author>
      <b:Author>
        <b:NameList>
          <b:Person>
            <b:Last>Mehran</b:Last>
            <b:First>Hamid</b:First>
          </b:Person>
          <b:Person>
            <b:Last>Thakor</b:Last>
            <b:First>Anjan</b:First>
          </b:Person>
        </b:NameList>
      </b:Author>
    </b:Author>
    <b:Title>Bank Capital and Value in the Cross-Section</b:Title>
    <b:JournalName>The Review of Financial Studies</b:JournalName>
    <b:Year>2011</b:Year>
    <b:Pages>1019–1067</b:Pages>
    <b:RefOrder>96</b:RefOrder>
  </b:Source>
  <b:Source>
    <b:Tag>Mic13</b:Tag>
    <b:SourceType>JournalArticle</b:SourceType>
    <b:Guid>{25D51443-A608-4717-9D3E-190AB0A5640A}</b:Guid>
    <b:Author>
      <b:Author>
        <b:NameList>
          <b:Person>
            <b:Last>Sawada</b:Last>
            <b:First>Michiru</b:First>
          </b:Person>
        </b:NameList>
      </b:Author>
    </b:Author>
    <b:Title>How does the stock market value bank diversification? Empirical evidence from Japanese banks</b:Title>
    <b:JournalName>Pacific-Basin Finance Journal</b:JournalName>
    <b:Year>2013</b:Year>
    <b:Pages>40 - 61</b:Pages>
    <b:RefOrder>97</b:RefOrder>
  </b:Source>
  <b:Source>
    <b:Tag>Mat14</b:Tag>
    <b:SourceType>JournalArticle</b:SourceType>
    <b:Guid>{DA4D9502-A791-47B1-AC53-A83CB1F7AC88}</b:Guid>
    <b:Author>
      <b:Author>
        <b:NameList>
          <b:Person>
            <b:Last>Köhler</b:Last>
            <b:First>Matthias</b:First>
          </b:Person>
        </b:NameList>
      </b:Author>
    </b:Author>
    <b:Title>Does non-interest income make banks more risky? Retail- versus investment-oriented banks</b:Title>
    <b:JournalName>Review of Financial Economics</b:JournalName>
    <b:Year>2014</b:Year>
    <b:Pages>182-193</b:Pages>
    <b:RefOrder>98</b:RefOrder>
  </b:Source>
  <b:Source>
    <b:Tag>Mas04</b:Tag>
    <b:SourceType>JournalArticle</b:SourceType>
    <b:Guid>{5928BB7C-504C-4705-92F8-57CDA404229A}</b:Guid>
    <b:Author>
      <b:Author>
        <b:NameList>
          <b:Person>
            <b:Last>Konishi</b:Last>
            <b:First>Masaru</b:First>
          </b:Person>
          <b:Person>
            <b:Last>Yasuda</b:Last>
            <b:First>Yukihiro</b:First>
          </b:Person>
        </b:NameList>
      </b:Author>
    </b:Author>
    <b:Title> Factors Affecting Bank Risk Taking: Evidence from Japan</b:Title>
    <b:JournalName>Journal of Banking &amp; Finance</b:JournalName>
    <b:Year>2004</b:Year>
    <b:Pages>215-232</b:Pages>
    <b:RefOrder>99</b:RefOrder>
  </b:Source>
  <b:Source>
    <b:Tag>Hal80</b:Tag>
    <b:SourceType>JournalArticle</b:SourceType>
    <b:Guid>{15A73F14-5088-4523-9D14-02E1F9130B64}</b:Guid>
    <b:Author>
      <b:Author>
        <b:NameList>
          <b:Person>
            <b:Last>White</b:Last>
            <b:First>Halbert</b:First>
          </b:Person>
        </b:NameList>
      </b:Author>
    </b:Author>
    <b:Title>A Heteroskedasticity-Consistent Covariance Matrix Estimator and a Direct Test for Heteroskedasticity</b:Title>
    <b:JournalName>Journal of Econometrics</b:JournalName>
    <b:Year>1980</b:Year>
    <b:Pages>817-838</b:Pages>
    <b:RefOrder>100</b:RefOrder>
  </b:Source>
  <b:Source>
    <b:Tag>Ghe17</b:Tag>
    <b:SourceType>JournalArticle</b:SourceType>
    <b:Guid>{DE25AE81-8C67-45D2-94AF-1370E07593AE}</b:Guid>
    <b:Author>
      <b:Author>
        <b:NameList>
          <b:Person>
            <b:Last>Ghenimi et al.</b:Last>
          </b:Person>
        </b:NameList>
      </b:Author>
    </b:Author>
    <b:Title>The effects of liquidity risk and credit risk on bank stability: Evidence from the MENA region</b:Title>
    <b:JournalName>Borsa Istanbul Review</b:JournalName>
    <b:Year>2017</b:Year>
    <b:Pages>238-248</b:Pages>
    <b:RefOrder>101</b:RefOrder>
  </b:Source>
  <b:Source>
    <b:Tag>Mic15</b:Tag>
    <b:SourceType>JournalArticle</b:SourceType>
    <b:Guid>{F57E8019-79F8-464A-BF7E-DB36F54BD9FE}</b:Guid>
    <b:Author>
      <b:Author>
        <b:NameList>
          <b:Person>
            <b:Last>Adusei</b:Last>
            <b:First>Michael</b:First>
          </b:Person>
        </b:NameList>
      </b:Author>
    </b:Author>
    <b:Title>The impact of bank size and funding risk on bank stability</b:Title>
    <b:JournalName>Cogent Economics &amp; Finance</b:JournalName>
    <b:Year>2015</b:Year>
    <b:Pages>1111489</b:Pages>
    <b:RefOrder>102</b:RefOrder>
  </b:Source>
  <b:Source>
    <b:Tag>Mat15</b:Tag>
    <b:SourceType>JournalArticle</b:SourceType>
    <b:Guid>{444D7CFB-B9CD-42B8-ACD3-0C4CA5142764}</b:Guid>
    <b:Author>
      <b:Author>
        <b:NameList>
          <b:Person>
            <b:Last>Köhler</b:Last>
            <b:First>Matthias</b:First>
          </b:Person>
        </b:NameList>
      </b:Author>
    </b:Author>
    <b:Title>Which banks are more risky? The impact of business model on bank stability</b:Title>
    <b:JournalName>Journal of Financial Stability</b:JournalName>
    <b:Year>2015</b:Year>
    <b:Pages>195–212</b:Pages>
    <b:RefOrder>103</b:RefOrder>
  </b:Source>
  <b:Source>
    <b:Tag>And10</b:Tag>
    <b:SourceType>JournalArticle</b:SourceType>
    <b:Guid>{BCC485C0-D4ED-4A30-B3C0-EC61A566D58F}</b:Guid>
    <b:Author>
      <b:Author>
        <b:NameList>
          <b:Person>
            <b:Last>Shleifer</b:Last>
            <b:First>Andrei</b:First>
          </b:Person>
          <b:Person>
            <b:Last>Vishny</b:Last>
            <b:First>Robert</b:First>
            <b:Middle>W.</b:Middle>
          </b:Person>
        </b:NameList>
      </b:Author>
    </b:Author>
    <b:Title>Unstable banking</b:Title>
    <b:JournalName>Journal of Financial Economics</b:JournalName>
    <b:Year>2010</b:Year>
    <b:Pages>306-318</b:Pages>
    <b:RefOrder>104</b:RefOrder>
  </b:Source>
  <b:Source>
    <b:Tag>Cha22</b:Tag>
    <b:SourceType>JournalArticle</b:SourceType>
    <b:Guid>{62D31D42-03FC-4C31-91C1-29E1AFDCA06F}</b:Guid>
    <b:Author>
      <b:Author>
        <b:NameList>
          <b:Person>
            <b:Last>Chai et al.</b:Last>
          </b:Person>
        </b:NameList>
      </b:Author>
    </b:Author>
    <b:Title>Bank Specific Risks and Financial Stability Nexus: Evidence From Pakistan</b:Title>
    <b:JournalName>Frontiers in Psychology</b:JournalName>
    <b:Year>2022</b:Year>
    <b:Pages>909141</b:Pages>
    <b:RefOrder>105</b:RefOrder>
  </b:Source>
</b:Sources>
</file>

<file path=customXml/itemProps1.xml><?xml version="1.0" encoding="utf-8"?>
<ds:datastoreItem xmlns:ds="http://schemas.openxmlformats.org/officeDocument/2006/customXml" ds:itemID="{E8A1C2D1-B2AD-4158-AEE8-35B2DBC9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7318</Words>
  <Characters>41717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BUKKI ABOLAJI</dc:creator>
  <cp:lastModifiedBy>Nino</cp:lastModifiedBy>
  <cp:revision>2</cp:revision>
  <dcterms:created xsi:type="dcterms:W3CDTF">2023-07-21T06:37:00Z</dcterms:created>
  <dcterms:modified xsi:type="dcterms:W3CDTF">2023-07-21T06:37:00Z</dcterms:modified>
</cp:coreProperties>
</file>